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35E88B8" wp14:paraId="58C69CFD" wp14:textId="77CDC26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June 9, 2025</w:t>
      </w:r>
    </w:p>
    <w:p xmlns:wp14="http://schemas.microsoft.com/office/word/2010/wordml" w:rsidP="735E88B8" wp14:paraId="64983858" wp14:textId="21B4805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TESTIMONY  FOR THE SPECIAL COMMISSION ON CONTINUING CARE COMMUNITIES: (PLEASE INCLUDE SENIOR RETIREMENT COMMUNITIES THAT MAY NOT HAVE ALL LEVELS OF CARE)</w:t>
      </w:r>
    </w:p>
    <w:p xmlns:wp14="http://schemas.microsoft.com/office/word/2010/wordml" w:rsidP="735E88B8" wp14:paraId="5B628027" wp14:textId="5BD9967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My name is Ivey Cooley and my sister and I serve as the primary caregivers for our 98 year old mother. We have had a personal experience with the issues of refunding entrance fees. My mother paid a hefty entrance fee when she entered the senior retirement community in Longmeadow and we took the plan with a 90% refund to be returned when the apartment was re-rented.  At the time, there was a wait list and we were told the average re-rental time for apartments was 6 months. We counted on this refund to help pay for her next level of care. When we moved her to an assisted living memory care unit in Wilbraham, we were due $170,000.  It took 18 months for her unit to be re-rented, because it was less desirable than the 2 bedroom units. This situation created financial stress for our family as we had to utilize our own retirement funds ( we are in our 70’s) to help pay the new fees.</w:t>
      </w:r>
    </w:p>
    <w:p xmlns:wp14="http://schemas.microsoft.com/office/word/2010/wordml" w:rsidP="735E88B8" wp14:paraId="24F86BC7" wp14:textId="76E5502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I am supporting the following  changes to the current situation:</w:t>
      </w:r>
    </w:p>
    <w:p xmlns:wp14="http://schemas.microsoft.com/office/word/2010/wordml" w:rsidP="735E88B8" wp14:paraId="62223588" wp14:textId="3F0B7775">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There needs to be a </w:t>
      </w: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time limit for refunds</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promised entrance fee.</w:t>
      </w:r>
    </w:p>
    <w:p xmlns:wp14="http://schemas.microsoft.com/office/word/2010/wordml" w:rsidP="735E88B8" wp14:paraId="288EBB13" wp14:textId="14378F71">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There needs to be a change in the refund contingency.</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Instead of requiring the re -rental of a specific apartment,</w:t>
      </w: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the facility assigns residents a number, reflecting their place</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in the order of existing vacancies. </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is a </w:t>
      </w: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MORE EQUITABLE SYSTEM</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ADOPTED BY THE New Jersey legislature</w:t>
      </w: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current policy of focusing on a specific unit discriminates against less affluent residents and singles who often have a less desirable apartment. This change makes the refund not dependent on market conditions or bonuses to sales people for selling more expensive apartments.</w:t>
      </w:r>
    </w:p>
    <w:p xmlns:wp14="http://schemas.microsoft.com/office/word/2010/wordml" w:rsidP="735E88B8" wp14:paraId="189CB04F" wp14:textId="5B4868E8">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35E88B8" wp14:paraId="4B43D40B" wp14:textId="623013BB">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Objection by CCRCs</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this plan would hurt our cash flow.</w:t>
      </w:r>
    </w:p>
    <w:p xmlns:wp14="http://schemas.microsoft.com/office/word/2010/wordml" w:rsidP="735E88B8" wp14:paraId="28B232C7" wp14:textId="6B6F8AAB">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Counter:</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 Entrance fees increase annually as does the rent. 2. They are keeping 10% or more. And they have more money to keep if someone rents an expensive apartment and they only have to refund a lesser apartment fee. It evens out.                                                                                           3.CCRCs and retirement communities need a </w:t>
      </w: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separate document outlining the refund policy.</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They need to make clear their financial solvency, where the entrance fee goes, and the security for these funds in the event of bankruptcy.</w:t>
      </w:r>
    </w:p>
    <w:p xmlns:wp14="http://schemas.microsoft.com/office/word/2010/wordml" w:rsidP="735E88B8" wp14:paraId="2976E45F" wp14:textId="018C0829">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4.Preventing bankruptcy</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protecting the promised refunds: the CCRC’s should file a certificate of solvency every year for state oversight and have their financials and reserves regulated and/or audited.                                                                                                                                              a. CCRS could be required to set up actuarial reserves for future incurred liabilities                                                b. Obtain liability insurance or bonds                                                                                                                         c.  The state sets up a fund like banks (FDIC insurance)  to secure the safety of these funds                             </w:t>
      </w: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5</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Appointment of an ombudsman</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independent living senior retirement communities or an oversight agency. When we were having trouble getting our refund and felt exploited, we were told the residential independent living places were not regulated and they could do what they wanted and we had no recourse.</w:t>
      </w:r>
    </w:p>
    <w:p xmlns:wp14="http://schemas.microsoft.com/office/word/2010/wordml" w:rsidP="735E88B8" wp14:paraId="08BA986D" wp14:textId="1ACF26F6">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w:t>
      </w:r>
    </w:p>
    <w:p xmlns:wp14="http://schemas.microsoft.com/office/word/2010/wordml" w:rsidP="735E88B8" wp14:paraId="11DDDB31" wp14:textId="5E674FE5">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senior retirement communities and CCRCs, are not regulated and are treated as a business with no oversight or regulation. They are allowed to promise refunds of whatever percentage they want upon re-renting the particular unit with no guarantee of solvency and no fiduciary responsibility of the refund. The refund policy is a marketing tool that benefits the facility but exploits the seniors.  For example, Southwick in Mass, filed for bankruptcy and when sold the new owners only promised 40 % refund instead of the original contracted 90% . In many states as per NBC Response 5, some people waited 5 years or more for their refund and in some cases lost all their money due to the CCRC going bankrupt. </w:t>
      </w:r>
    </w:p>
    <w:p xmlns:wp14="http://schemas.microsoft.com/office/word/2010/wordml" w:rsidP="735E88B8" wp14:paraId="61C4A0FC" wp14:textId="34AE3933">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35E88B8" wp14:paraId="3B710923" wp14:textId="54A89A17">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pro for a refund time limit: As per New Jersey assembly woman, Mila M. Jasey who sponsored the bill to require a refund time limit: ‘ It is the sponsor’s intent that continuing care retirement communities not be permitted to retain the assets of former residents for unreasonably long periods of time, as this denies the person access to substantial resources they spent their lives accruing and saving and can limit the person’s options when looking for new housing accommodation. “</w:t>
      </w:r>
    </w:p>
    <w:p xmlns:wp14="http://schemas.microsoft.com/office/word/2010/wordml" w:rsidP="735E88B8" wp14:paraId="7FF855C0" wp14:textId="78067970">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35E88B8" wp14:paraId="46825E2D" wp14:textId="2BA85019">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1"/>
          <w:bCs w:val="1"/>
          <w:i w:val="0"/>
          <w:iCs w:val="0"/>
          <w:caps w:val="0"/>
          <w:smallCaps w:val="0"/>
          <w:noProof w:val="0"/>
          <w:color w:val="000000" w:themeColor="text1" w:themeTint="FF" w:themeShade="FF"/>
          <w:sz w:val="22"/>
          <w:szCs w:val="22"/>
          <w:lang w:val="en-US"/>
        </w:rPr>
        <w:t>CCRS objections</w:t>
      </w: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What if we have too many vacancies we will go under?</w:t>
      </w:r>
    </w:p>
    <w:p xmlns:wp14="http://schemas.microsoft.com/office/word/2010/wordml" w:rsidP="735E88B8" wp14:paraId="77FEF048" wp14:textId="3E0503E2">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Here are the following recommendations:</w:t>
      </w:r>
    </w:p>
    <w:p xmlns:wp14="http://schemas.microsoft.com/office/word/2010/wordml" w:rsidP="735E88B8" wp14:paraId="09A5A78E" wp14:textId="52EF10C9">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Don’t offer refunds. Lower the fees and make the entrance fees (non-refundable)</w:t>
      </w:r>
    </w:p>
    <w:p xmlns:wp14="http://schemas.microsoft.com/office/word/2010/wordml" w:rsidP="735E88B8" wp14:paraId="6858C9A0" wp14:textId="1F587CF0">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Offer a lower refund percentage as 50% and put the 50% in a safe fund and use the interest.</w:t>
      </w:r>
    </w:p>
    <w:p xmlns:wp14="http://schemas.microsoft.com/office/word/2010/wordml" w:rsidP="735E88B8" wp14:paraId="550A8C92" wp14:textId="2DBF53A9">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Set up an escrow fund or an endowment and use the interest and the percentage they are keeping for the operating budget.  If the non-profits mission is to serve seniors, and the funds are not theirs, they have a fiduciary obligation as any landlord to return the funds in a reasonable time period. Full disclosure to the consumer is needed so that they are aware that the funds are used in the operating budget.</w:t>
      </w:r>
    </w:p>
    <w:p xmlns:wp14="http://schemas.microsoft.com/office/word/2010/wordml" w:rsidP="735E88B8" wp14:paraId="7D108C8A" wp14:textId="732A7DF8">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Find other ways to raise money i.e. Glenmeadow, provides home care to the community, they rent their spaces and allow the community to pay a monthly fee to use the facilities, have fundraisers, request donations </w:t>
      </w:r>
    </w:p>
    <w:p xmlns:wp14="http://schemas.microsoft.com/office/word/2010/wordml" w:rsidP="735E88B8" wp14:paraId="4CF857E9" wp14:textId="31F68217">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Offer an amortization schedule so the money is 0 after 4 years.. </w:t>
      </w:r>
    </w:p>
    <w:p xmlns:wp14="http://schemas.microsoft.com/office/word/2010/wordml" w:rsidP="735E88B8" wp14:paraId="45A46DEC" wp14:textId="4BFAFAD6">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35E88B8" wp14:paraId="3F5717AF" wp14:textId="3E579B64">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Mr. Chairman and commission members, thanks for your attention. I am attaching copies of articles verifying the response of other states to this issue</w:t>
      </w:r>
    </w:p>
    <w:p xmlns:wp14="http://schemas.microsoft.com/office/word/2010/wordml" w:rsidP="735E88B8" wp14:paraId="03FA1C38" wp14:textId="6E09D8A9">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35E88B8" wp14:paraId="68422EB9" wp14:textId="660D6930">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Sincerely yours,</w:t>
      </w:r>
    </w:p>
    <w:p xmlns:wp14="http://schemas.microsoft.com/office/word/2010/wordml" w:rsidP="735E88B8" wp14:paraId="2E5CEC88" wp14:textId="238603B0">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35E88B8" wp14:paraId="1357FCEC" wp14:textId="4241A3FF">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Ivey S. Cooley, Power of attorney, Health care proxy and Federal Fiduciary for Selma Cooley, a long time resident of Springfield, Mass and a resident at Glenmeadow senior retirement community and Orchard Valley at Wilbraham (a benchmark assisted living community)</w:t>
      </w:r>
    </w:p>
    <w:p xmlns:wp14="http://schemas.microsoft.com/office/word/2010/wordml" w:rsidP="735E88B8" wp14:paraId="0C85C57A" wp14:textId="7F605D1A">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35E88B8" wp14:paraId="13E787EB" wp14:textId="7D71F94A">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35E88B8" w:rsidR="3BC0E566">
        <w:rPr>
          <w:rFonts w:ascii="Calibri" w:hAnsi="Calibri" w:eastAsia="Calibri" w:cs="Calibri"/>
          <w:b w:val="0"/>
          <w:bCs w:val="0"/>
          <w:i w:val="0"/>
          <w:iCs w:val="0"/>
          <w:caps w:val="0"/>
          <w:smallCaps w:val="0"/>
          <w:noProof w:val="0"/>
          <w:color w:val="000000" w:themeColor="text1" w:themeTint="FF" w:themeShade="FF"/>
          <w:sz w:val="22"/>
          <w:szCs w:val="22"/>
          <w:lang w:val="en-US"/>
        </w:rPr>
        <w:t>Please see attached documents from newspapers regarding legislative efforts in other states regarding the issues of bankruptcy and entrance fees.- 8 pages</w:t>
      </w:r>
    </w:p>
    <w:p xmlns:wp14="http://schemas.microsoft.com/office/word/2010/wordml" w:rsidP="735E88B8" wp14:paraId="5874E9CA" wp14:textId="4F9A5B8A">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3DB3266" wp14:paraId="460A536E" wp14:textId="14F4D37E">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3DB3266" wp14:paraId="13989A76" wp14:textId="7B8A4BD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ADDITIONAL TESTIMONY FOR THE SPECIAL COMMISSION ON CONTINUING CARE COMMUNITIES (PLEASE INCLUDE SENIOR RETIREMENT COMMUNITIES THAT MAY NOT HAVE ALL LEVELS OF CARE BUT REQUIRE AN ENTRANCE FEE AND OFFER A REFUND)</w:t>
      </w:r>
    </w:p>
    <w:p xmlns:wp14="http://schemas.microsoft.com/office/word/2010/wordml" w:rsidP="23DB3266" wp14:paraId="61FDFE37" wp14:textId="4A7A23C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Dear Commission: There is a bill S478 which addresses the issue of the residency agreements for CCRS. I feel that my testimony regarding this bill is relative to the commission and the things it is considering. As a result I am forwarding a copy of this testimony to add to my testimony for your consideration. </w:t>
      </w:r>
    </w:p>
    <w:p xmlns:wp14="http://schemas.microsoft.com/office/word/2010/wordml" w:rsidP="23DB3266" wp14:paraId="1B115711" wp14:textId="029D519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Also please note that in the Nov. 2023, Senator Olivieri and Rep Ashe and Puppolo, Jr, submitted a bill H4198 and S 2828 that dealt with the first two issues of the entrance fee: including requesting a time limit and suggesting the alternative refund criteria of vacancy order. The bills were modeled after New Jersey bills. This went to Joint Committee on Elder Affairs but was tabled before the commission was established to provide enough time for the commission to do a more in depth look at the issues.  Rep. Stanley is familiar with these bills.</w:t>
      </w:r>
    </w:p>
    <w:p xmlns:wp14="http://schemas.microsoft.com/office/word/2010/wordml" w:rsidP="23DB3266" wp14:paraId="37A4A48E" wp14:textId="61BC109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Sincerely, Ivey S. Cooley</w:t>
      </w:r>
    </w:p>
    <w:p xmlns:wp14="http://schemas.microsoft.com/office/word/2010/wordml" w:rsidP="23DB3266" wp14:paraId="452F7C23" wp14:textId="701D38E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testimony submitted re S478  an act relative to disclosing continuing care retirement community entrance fees.</w:t>
      </w:r>
    </w:p>
    <w:p xmlns:wp14="http://schemas.microsoft.com/office/word/2010/wordml" w:rsidP="23DB3266" wp14:paraId="0934EDCB" wp14:textId="2614AD5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My name is Ivey S.Cooley and my family had direct experience with the lack of a clear and separate document outlining the refund policy.  Before I describe what happened and why we support this legislation. I do need to make some suggestions.</w:t>
      </w:r>
    </w:p>
    <w:p xmlns:wp14="http://schemas.microsoft.com/office/word/2010/wordml" w:rsidP="23DB3266" wp14:paraId="667C07D9" wp14:textId="23BBC21E">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This separate  disclosure of continuing care retirement community entrance fees needs to define a CCRC to include all written residency agreements that propose a refund of the entrance fee.  My mother lived in a senior retirement community in Longmeadow with an assisted living component but not a nursing home. There may be other senior residences requiring an entrance fee and offering a refund that do not have all life time level of cares.</w:t>
      </w:r>
    </w:p>
    <w:p xmlns:wp14="http://schemas.microsoft.com/office/word/2010/wordml" w:rsidP="23DB3266" wp14:paraId="2C30400F" wp14:textId="488B04B2">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There needs to be some agency or a state regulatory commission if a community fails to follow their agreement or their agreement isn’t clear? Who regulates or evaluates these agreements to make sure they don’t exploit seniors? Is there an appeal process if the time of refund is unreasonable and creates a hardship? Currently there is no regulation for the independent senior living components to a CCRC. Their entrance fee is not governed by landlord tenant rules and seniors are subject to being exploited. There is no protection or guarantee that their refund is protected. For example, Southwick, of Western , Mass,  went bankrupt and was sold. The new owners  only promised 40%  of the 90% refund</w:t>
      </w:r>
    </w:p>
    <w:p xmlns:wp14="http://schemas.microsoft.com/office/word/2010/wordml" w:rsidP="23DB3266" wp14:paraId="0E1015A1" wp14:textId="232D0F2F">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Clear criteria for the refund</w:t>
      </w:r>
    </w:p>
    <w:p xmlns:wp14="http://schemas.microsoft.com/office/word/2010/wordml" w:rsidP="23DB3266" wp14:paraId="17D093E9" wp14:textId="19FE9F4C">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 The following identifies other information that needs to be part of the full disclosure:</w:t>
      </w:r>
    </w:p>
    <w:p xmlns:wp14="http://schemas.microsoft.com/office/word/2010/wordml" w:rsidP="23DB3266" wp14:paraId="7B7D8BA5" wp14:textId="2EEF6280">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financial solvency of the company and the frequency of updates to the residents.</w:t>
      </w:r>
    </w:p>
    <w:p xmlns:wp14="http://schemas.microsoft.com/office/word/2010/wordml" w:rsidP="23DB3266" wp14:paraId="2C7BEBAC" wp14:textId="58724E3E">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For what is the entrance used i.e. is it going into the operating budget  or kept separate.</w:t>
      </w:r>
    </w:p>
    <w:p xmlns:wp14="http://schemas.microsoft.com/office/word/2010/wordml" w:rsidP="23DB3266" wp14:paraId="2BB31FFD" wp14:textId="579CE72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security of these funds in the event of bankruptcy or the selling of the community i.e. is there  a bond, insurance fund, state guarantee fun? What are the risks to this money.?</w:t>
      </w:r>
    </w:p>
    <w:p xmlns:wp14="http://schemas.microsoft.com/office/word/2010/wordml" w:rsidP="23DB3266" wp14:paraId="09FF6B83" wp14:textId="30980A21">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What is the maximum wait time for the return of the refund i.e. what happens if the apartment is less desirable and takes a long time to re-rent or if they have a lot of vacancies? What is a reasonable time for people to wait to get their money back especially if they need their resources for the next level of care? (i.e. in Ct Coventry village promises the money after 120 if the apartment isn’t re –rented.-Whitney Center in Hamden returns it on death or moving- currently in Mass the time limited is unlimited. NBC Response 5 out of chicagoi  2023 reported in many states families waited over 5 years for their refund or lost their money  due to bankruptcy)</w:t>
      </w:r>
    </w:p>
    <w:p xmlns:wp14="http://schemas.microsoft.com/office/word/2010/wordml" w:rsidP="23DB3266" wp14:paraId="586CD2B7" wp14:textId="004F49B8">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What are the contingencies required to refund the money i.e. re-rental of a specific unit, or order of vacancy? </w:t>
      </w:r>
    </w:p>
    <w:p xmlns:wp14="http://schemas.microsoft.com/office/word/2010/wordml" w:rsidP="23DB3266" wp14:paraId="747189B0" wp14:textId="2FE26F56">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What deductions can be taken from the refund?</w:t>
      </w:r>
    </w:p>
    <w:p xmlns:wp14="http://schemas.microsoft.com/office/word/2010/wordml" w:rsidP="23DB3266" wp14:paraId="402BE5EF" wp14:textId="136D2F07">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Is the refund one payment or are there more than one payments to be received?</w:t>
      </w:r>
    </w:p>
    <w:p xmlns:wp14="http://schemas.microsoft.com/office/word/2010/wordml" w:rsidP="23DB3266" wp14:paraId="4CBD6B68" wp14:textId="10DA619B">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How soon after the apartment is re-rented will the refund be returned.</w:t>
      </w:r>
    </w:p>
    <w:p xmlns:wp14="http://schemas.microsoft.com/office/word/2010/wordml" w:rsidP="23DB3266" wp14:paraId="0A1CA51A" wp14:textId="5747D6A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OUR EXPERIENCE WITH A CONTRACT THAT WASN’T SEPARATE OR EXPLICIT: Our  residency agreement was 23 pages long with the refund policy listed  as part of the termination sections starting on page15-20. We had problems with the facilities compliance with the refund agreement and had to send copies of the agreement to a number of attorneys. Having a clear separate document would have facilitated the process. </w:t>
      </w:r>
    </w:p>
    <w:p xmlns:wp14="http://schemas.microsoft.com/office/word/2010/wordml" w:rsidP="23DB3266" wp14:paraId="2E105144" wp14:textId="0790773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following story demonstrates how the facility abused their residential agreement to suit their own needs creating a financial hardship for the family and the lack of recourse consumers had other than hiring an attorney.</w:t>
      </w:r>
    </w:p>
    <w:p xmlns:wp14="http://schemas.microsoft.com/office/word/2010/wordml" w:rsidP="23DB3266" wp14:paraId="49A3A932" wp14:textId="5D73F75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My mother Selma Cooley lived her whole life in Western Mass and moved to a Longmeadow retirement community with an assisted living component. She paid a $229,000 entrance fee. We took the 90% refund policy entitling us to a refund of $206,900. After 8.5 years she needed an assisted living memory care unit in Wilbraham which this facility couldn’t provide. We had used up all her funds to keep her there and counted on the refund to help pay for a few years in this new residence. </w:t>
      </w:r>
    </w:p>
    <w:p xmlns:wp14="http://schemas.microsoft.com/office/word/2010/wordml" w:rsidP="23DB3266" wp14:paraId="1063F753" wp14:textId="47783B7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repayment  of the 90% refund as per the residency agreement  had  two payments depending on how long the resident had resided in the community.  Her first refund payment was $29.887 which was 13% of the original entrance deposit payment. She was entitled to the first payment within 120 days of the Agreement’s termination  on July 25, 2022. </w:t>
      </w:r>
      <w:r w:rsidRPr="23DB3266" w:rsidR="3BC0E566">
        <w:rPr>
          <w:rFonts w:ascii="Calibri" w:hAnsi="Calibri" w:eastAsia="Calibri" w:cs="Calibri"/>
          <w:b w:val="1"/>
          <w:bCs w:val="1"/>
          <w:i w:val="0"/>
          <w:iCs w:val="0"/>
          <w:caps w:val="0"/>
          <w:smallCaps w:val="0"/>
          <w:noProof w:val="0"/>
          <w:color w:val="000000" w:themeColor="text1" w:themeTint="FF" w:themeShade="FF"/>
          <w:sz w:val="22"/>
          <w:szCs w:val="22"/>
          <w:lang w:val="en-US"/>
        </w:rPr>
        <w:t>There were no restrictions listed in the agreement for the release of the first payment.</w:t>
      </w: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addition, a second payment of $140,128.50 was due when the unit was re-occupied and a ‘new’ entrance fee was paid. This second payment was made after subtracting  two deductions: the first refund payment of $29.887 and the second being $36,894.50 for 12 months of deferred rents.  </w:t>
      </w:r>
      <w:r w:rsidRPr="23DB3266" w:rsidR="3BC0E566">
        <w:rPr>
          <w:rFonts w:ascii="Calibri" w:hAnsi="Calibri" w:eastAsia="Calibri" w:cs="Calibri"/>
          <w:b w:val="1"/>
          <w:bCs w:val="1"/>
          <w:i w:val="0"/>
          <w:iCs w:val="0"/>
          <w:caps w:val="0"/>
          <w:smallCaps w:val="0"/>
          <w:noProof w:val="0"/>
          <w:color w:val="000000" w:themeColor="text1" w:themeTint="FF" w:themeShade="FF"/>
          <w:sz w:val="22"/>
          <w:szCs w:val="22"/>
          <w:lang w:val="en-US"/>
        </w:rPr>
        <w:t>The residential agreement did not spell out that the deferred rent must be made from the first refund payment only that the facility would take it out of the full refund</w:t>
      </w:r>
      <w:r w:rsidRPr="23DB3266" w:rsidR="3BC0E566">
        <w:rPr>
          <w:rFonts w:ascii="Calibri" w:hAnsi="Calibri" w:eastAsia="Calibri" w:cs="Calibri"/>
          <w:b w:val="0"/>
          <w:bCs w:val="0"/>
          <w:i w:val="0"/>
          <w:iCs w:val="0"/>
          <w:caps w:val="0"/>
          <w:smallCaps w:val="0"/>
          <w:noProof w:val="0"/>
          <w:color w:val="000000" w:themeColor="text1" w:themeTint="FF" w:themeShade="FF"/>
          <w:sz w:val="22"/>
          <w:szCs w:val="22"/>
          <w:lang w:val="en-US"/>
        </w:rPr>
        <w:t>.  The CEO took the money out of the first payment. We contacted many agencies in the state and learned there was no recourse except to hire an attorney to send a demand letter. We did hire an attorney who sent a demand letter and we got the $29.887 on 9/2023. The apartment was re-rented after 18 months on Dec. 1, 2023.</w:t>
      </w:r>
    </w:p>
    <w:p xmlns:wp14="http://schemas.microsoft.com/office/word/2010/wordml" w:rsidP="735E88B8" wp14:paraId="2C078E63" wp14:textId="72B17126">
      <w:pPr>
        <w:rPr>
          <w:b w:val="1"/>
          <w:bCs w:val="1"/>
        </w:rPr>
      </w:pPr>
    </w:p>
    <w:p w:rsidR="23DB3266" w:rsidP="5C938223" w:rsidRDefault="23DB3266" w14:paraId="246EC9DC" w14:textId="53F1D8F5">
      <w:pPr>
        <w:rPr>
          <w:rFonts w:ascii="Calibri" w:hAnsi="Calibri" w:eastAsia="Calibri" w:cs="Calibri"/>
          <w:b w:val="0"/>
          <w:bCs w:val="0"/>
          <w:i w:val="0"/>
          <w:iCs w:val="0"/>
          <w:caps w:val="0"/>
          <w:smallCaps w:val="0"/>
          <w:noProof w:val="0"/>
          <w:color w:val="000000" w:themeColor="text1" w:themeTint="FF" w:themeShade="FF"/>
          <w:sz w:val="22"/>
          <w:szCs w:val="22"/>
          <w:lang w:val="en-US"/>
        </w:rPr>
      </w:pPr>
      <w:r>
        <w:br/>
      </w:r>
      <w:r w:rsidR="3BC0E566">
        <w:drawing>
          <wp:inline wp14:editId="26DA56CF" wp14:anchorId="7DADEC1B">
            <wp:extent cx="1714500" cy="828675"/>
            <wp:effectExtent l="0" t="0" r="0" b="0"/>
            <wp:docPr id="1941089999" name="" descr="Union County Elder Law Attorneys | New Jersey Estate Planning Lawyers | Westfield NJ, Picture" title=""/>
            <wp:cNvGraphicFramePr>
              <a:graphicFrameLocks noChangeAspect="1"/>
            </wp:cNvGraphicFramePr>
            <a:graphic>
              <a:graphicData uri="http://schemas.openxmlformats.org/drawingml/2006/picture">
                <pic:pic>
                  <pic:nvPicPr>
                    <pic:cNvPr id="0" name=""/>
                    <pic:cNvPicPr/>
                  </pic:nvPicPr>
                  <pic:blipFill>
                    <a:blip r:embed="R30c07402b0cb4764">
                      <a:extLst>
                        <a:ext xmlns:a="http://schemas.openxmlformats.org/drawingml/2006/main" uri="{28A0092B-C50C-407E-A947-70E740481C1C}">
                          <a14:useLocalDpi val="0"/>
                        </a:ext>
                      </a:extLst>
                    </a:blip>
                    <a:stretch>
                      <a:fillRect/>
                    </a:stretch>
                  </pic:blipFill>
                  <pic:spPr>
                    <a:xfrm>
                      <a:off x="0" y="0"/>
                      <a:ext cx="1714500" cy="828675"/>
                    </a:xfrm>
                    <a:prstGeom prst="rect">
                      <a:avLst/>
                    </a:prstGeom>
                  </pic:spPr>
                </pic:pic>
              </a:graphicData>
            </a:graphic>
          </wp:inline>
        </w:drawing>
      </w:r>
    </w:p>
    <w:p w:rsidR="23DB3266" w:rsidP="5C938223" w:rsidRDefault="23DB3266" w14:paraId="3F28B972" w14:textId="401EE60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28Aug 2018</w:t>
      </w:r>
    </w:p>
    <w:p w:rsidR="23DB3266" w:rsidP="5C938223" w:rsidRDefault="23DB3266" w14:paraId="405B546C" w14:textId="7BDE567D">
      <w:pP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1be949425f504aa1">
        <w:r w:rsidRPr="5C938223" w:rsidR="3BC0E566">
          <w:rPr>
            <w:rStyle w:val="Hyperlink"/>
            <w:rFonts w:ascii="Calibri" w:hAnsi="Calibri" w:eastAsia="Calibri" w:cs="Calibri"/>
            <w:b w:val="1"/>
            <w:bCs w:val="1"/>
            <w:i w:val="0"/>
            <w:iCs w:val="0"/>
            <w:caps w:val="0"/>
            <w:smallCaps w:val="0"/>
            <w:strike w:val="0"/>
            <w:dstrike w:val="0"/>
            <w:noProof w:val="0"/>
            <w:sz w:val="22"/>
            <w:szCs w:val="22"/>
            <w:lang w:val="en-US"/>
          </w:rPr>
          <w:t>Governor Signs New Law Helping Residents of CCRCs in New Jersey Get Timely Refunds of Entrance Fees</w:t>
        </w:r>
      </w:hyperlink>
    </w:p>
    <w:p w:rsidR="23DB3266" w:rsidP="5C938223" w:rsidRDefault="23DB3266" w14:paraId="3EB4EC18" w14:textId="21698E9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3BC0E566">
        <w:drawing>
          <wp:inline wp14:editId="56F68E21" wp14:anchorId="174D3CEC">
            <wp:extent cx="2247900" cy="1409700"/>
            <wp:effectExtent l="0" t="0" r="0" b="0"/>
            <wp:docPr id="733117109" name="" descr="https://vanarellilaw.com/wp-content/uploads/2018/05/IMG_1408-606x380.jpg, Picture" title=""/>
            <wp:cNvGraphicFramePr>
              <a:graphicFrameLocks noChangeAspect="1"/>
            </wp:cNvGraphicFramePr>
            <a:graphic>
              <a:graphicData uri="http://schemas.openxmlformats.org/drawingml/2006/picture">
                <pic:pic>
                  <pic:nvPicPr>
                    <pic:cNvPr id="0" name=""/>
                    <pic:cNvPicPr/>
                  </pic:nvPicPr>
                  <pic:blipFill>
                    <a:blip r:embed="R157c68c5d3294748">
                      <a:extLst>
                        <a:ext xmlns:a="http://schemas.openxmlformats.org/drawingml/2006/main" uri="{28A0092B-C50C-407E-A947-70E740481C1C}">
                          <a14:useLocalDpi val="0"/>
                        </a:ext>
                      </a:extLst>
                    </a:blip>
                    <a:stretch>
                      <a:fillRect/>
                    </a:stretch>
                  </pic:blipFill>
                  <pic:spPr>
                    <a:xfrm>
                      <a:off x="0" y="0"/>
                      <a:ext cx="2247900" cy="1409700"/>
                    </a:xfrm>
                    <a:prstGeom prst="rect">
                      <a:avLst/>
                    </a:prstGeom>
                  </pic:spPr>
                </pic:pic>
              </a:graphicData>
            </a:graphic>
          </wp:inline>
        </w:drawing>
      </w:r>
    </w:p>
    <w:p w:rsidR="23DB3266" w:rsidP="5C938223" w:rsidRDefault="23DB3266" w14:paraId="42DD5F33" w14:textId="2EBDB8F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New Jersey recently changed state law governing “refundable” entrance fee agreements used by Continuing Care Retirement Communities (CCRCs).</w:t>
      </w:r>
    </w:p>
    <w:p w:rsidR="23DB3266" w:rsidP="5C938223" w:rsidRDefault="23DB3266" w14:paraId="17C3C0BB" w14:textId="38C10BC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State law limits the amount of time that CCRCs are permitted to retain “refundable” entrance fees after a resident vacates a facility due to relocation or death. Until recently, although New Jersey law required CCRCs to repay refundable fees, the refunds were not mandated until 60 days after the unit owned by the vacating resident was resold.   As a result, CCRC facilities often held refundable fees for a year or more after a particular unit was vacated, while marketing and selling other units first.  In essence, the CCRC facilities preferred to sell new units or other units unencumbered by a refund obligation, to maximize their income and asset picture.</w:t>
      </w:r>
    </w:p>
    <w:p w:rsidR="23DB3266" w:rsidP="5C938223" w:rsidRDefault="23DB3266" w14:paraId="01E47D3D" w14:textId="2E8DCAB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On August 17, 2018, New Jersey Governor Phil Murphy signed </w:t>
      </w: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 </w:t>
      </w:r>
      <w:hyperlink r:id="R146b091325e848f9">
        <w:r w:rsidRPr="5C938223" w:rsidR="3BC0E566">
          <w:rPr>
            <w:rStyle w:val="Hyperlink"/>
            <w:rFonts w:ascii="Calibri" w:hAnsi="Calibri" w:eastAsia="Calibri" w:cs="Calibri"/>
            <w:b w:val="1"/>
            <w:bCs w:val="1"/>
            <w:i w:val="0"/>
            <w:iCs w:val="0"/>
            <w:caps w:val="0"/>
            <w:smallCaps w:val="0"/>
            <w:strike w:val="0"/>
            <w:dstrike w:val="0"/>
            <w:noProof w:val="0"/>
            <w:sz w:val="22"/>
            <w:szCs w:val="22"/>
            <w:lang w:val="en-US"/>
          </w:rPr>
          <w:t>Public Law 2018, c.98</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into law. The legislative statement accompanying the new law explained the purpose of the changes:</w:t>
      </w:r>
    </w:p>
    <w:p w:rsidR="23DB3266" w:rsidP="5C938223" w:rsidRDefault="23DB3266" w14:paraId="1D5A36E7" w14:textId="4C7FDF6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1"/>
          <w:bCs w:val="1"/>
          <w:i w:val="1"/>
          <w:iCs w:val="1"/>
          <w:caps w:val="0"/>
          <w:smallCaps w:val="0"/>
          <w:noProof w:val="0"/>
          <w:color w:val="000000" w:themeColor="text1" w:themeTint="FF" w:themeShade="FF"/>
          <w:sz w:val="22"/>
          <w:szCs w:val="22"/>
          <w:lang w:val="en-US"/>
        </w:rPr>
        <w:t>Under current law, a continuing care retirement community may retain an entrance fee for as long as it takes for the unit to be reoccupied by another resident.  Absent a maximum refunding period, there is little incentive for the facility management to aggressively market any particular unit.  In some instances, a facility has retained the fee for several years after the unit has been vacated, unreasonably delaying the return of the fee.  Further, if the resident has died, an estate may be forced to pay distribution taxes on money representing the fee refund, years before the estate and beneficiaries receive that fee refund.</w:t>
      </w:r>
    </w:p>
    <w:p w:rsidR="23DB3266" w:rsidP="5C938223" w:rsidRDefault="23DB3266" w14:paraId="11281739" w14:textId="4DD9936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new law mandates that CCRCs create a preference list for units with refund obligations. Key language in the new law provides as follows:</w:t>
      </w:r>
    </w:p>
    <w:p w:rsidR="23DB3266" w:rsidP="5C938223" w:rsidRDefault="23DB3266" w14:paraId="74670D59" w14:textId="23FFA27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1"/>
          <w:bCs w:val="1"/>
          <w:i w:val="1"/>
          <w:iCs w:val="1"/>
          <w:caps w:val="0"/>
          <w:smallCaps w:val="0"/>
          <w:noProof w:val="0"/>
          <w:color w:val="000000" w:themeColor="text1" w:themeTint="FF" w:themeShade="FF"/>
          <w:sz w:val="22"/>
          <w:szCs w:val="22"/>
          <w:lang w:val="en-US"/>
        </w:rPr>
        <w:t>In the case of a continuing care agreement that provides for a refundable entrance fee, the facility shall assign the vacated unit a sequential refund number among all the available units with refundable entrance fees …. Any balance to the resident shall be payable based upon the order of the sequential refund number assigned to [the] unit ….</w:t>
      </w:r>
    </w:p>
    <w:p w:rsidR="23DB3266" w:rsidP="5C938223" w:rsidRDefault="23DB3266" w14:paraId="26601F6C" w14:textId="38A3F18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Instead of the preference list mandated by the new law, a CCRC facility is also permitted to apply to the New Jersey regulatory body for CCRCs for permission to use an alternative methodology for making refunds, but provides that “approval shall not be granted unless the facility can demonstrate that the use of the alternative methodology is resident-focused and provides for a more equitable and timely payment of refundable fees.”</w:t>
      </w:r>
    </w:p>
    <w:p w:rsidR="23DB3266" w:rsidP="5C938223" w:rsidRDefault="23DB3266" w14:paraId="38907C22" w14:textId="4227409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effective date of the new law is 90 days from date of enactment.  The new rule for refunds applies only to CCRC agreements entered into on or after the effective date of the new law.</w:t>
      </w:r>
    </w:p>
    <w:p w:rsidR="23DB3266" w:rsidP="5C938223" w:rsidRDefault="23DB3266" w14:paraId="26F62496" w14:textId="7A8DF18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CCRCs have less time to refund entrance fees under new law</w:t>
      </w:r>
    </w:p>
    <w:p w:rsidR="23DB3266" w:rsidP="5C938223" w:rsidRDefault="23DB3266" w14:paraId="36D34E92" w14:textId="1F5F1374">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23DB3266" w:rsidP="5C938223" w:rsidRDefault="23DB3266" w14:paraId="68B6D99D" w14:textId="7000960E">
      <w:pP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01ac2eb04d214b5d">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 @LOIS_BOWERS</w:t>
        </w:r>
      </w:hyperlink>
    </w:p>
    <w:p w:rsidR="23DB3266" w:rsidP="5C938223" w:rsidRDefault="23DB3266" w14:paraId="41EFF578" w14:textId="239519F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AUGUST 21, 2018</w:t>
      </w:r>
    </w:p>
    <w:p w:rsidR="23DB3266" w:rsidP="5C938223" w:rsidRDefault="23DB3266" w14:paraId="7D1B070A" w14:textId="6FEAAD7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Continuing care retirement communities will have have less time to return refundable portions of entrance fees to residents or their estates after move-out under a </w:t>
      </w:r>
      <w:hyperlink r:id="Rbb4bfa70ba404504">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new law</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signed Friday by New Jersey Gov. Phil Murphy.</w:t>
      </w:r>
    </w:p>
    <w:p w:rsidR="23DB3266" w:rsidP="5C938223" w:rsidRDefault="23DB3266" w14:paraId="4808432E" w14:textId="6AA439C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And the Health Care Association of New Jersey, state partner of Argentum and state affiliate for the American Health Care Association and National Center for Assisted Living, is fine with that.</w:t>
      </w:r>
    </w:p>
    <w:p w:rsidR="23DB3266" w:rsidP="5C938223" w:rsidRDefault="23DB3266" w14:paraId="6EB35BEF" w14:textId="6ADCDBE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Previously, Garden State CCRCs had an undefined amount of time to return the 90% of the move-in fee that is due to residents or their estates after move-out. The transfer usually happened when another resident moved into the unoccupied unit, although specific terms varied by contract. Now, CCRCs, also known as life plan communities, </w:t>
      </w: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will have a year to return the fee.</w:t>
      </w:r>
    </w:p>
    <w:p w:rsidR="23DB3266" w:rsidP="5C938223" w:rsidRDefault="23DB3266" w14:paraId="346B76E2" w14:textId="5C19293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Passage of the legislation, HCANJ President and CEO Jon Dolan told </w:t>
      </w:r>
      <w:r w:rsidRPr="5C938223" w:rsidR="3BC0E566">
        <w:rPr>
          <w:rFonts w:ascii="Calibri" w:hAnsi="Calibri" w:eastAsia="Calibri" w:cs="Calibri"/>
          <w:b w:val="0"/>
          <w:bCs w:val="0"/>
          <w:i w:val="1"/>
          <w:iCs w:val="1"/>
          <w:caps w:val="0"/>
          <w:smallCaps w:val="0"/>
          <w:noProof w:val="0"/>
          <w:color w:val="000000" w:themeColor="text1" w:themeTint="FF" w:themeShade="FF"/>
          <w:sz w:val="22"/>
          <w:szCs w:val="22"/>
          <w:lang w:val="en-US"/>
        </w:rPr>
        <w:t>McKnight’s Senior Living</w:t>
      </w: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“did not come with big battles or horrendous stories for the industry or consumers. It just seemed to be in the interest of more transparency and fairness within the process and equitable enough to both sides.”</w:t>
      </w:r>
    </w:p>
    <w:p w:rsidR="23DB3266" w:rsidP="5C938223" w:rsidRDefault="23DB3266" w14:paraId="52411455" w14:textId="5B2CE88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“It was taking an existing statute and growing it to meet the modern business interactions and disclosure transparency and righteous return of resources after compensating the provider,” he added. “We felt it wasn’t threatening.”</w:t>
      </w:r>
    </w:p>
    <w:p w:rsidR="23DB3266" w:rsidP="5C938223" w:rsidRDefault="23DB3266" w14:paraId="59E33CE4" w14:textId="68875A6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New Jersey Sen. Christopher “Kip” Bateman, a Republican and a primary sponsor of the bipartisan bill that became law, said the new law is meant to protect older adults from “greedy CCRCs.” He called the current fee-return practice a “nightmare,” noting cases taking up to almost a decade for families to receive refunds.</w:t>
      </w:r>
    </w:p>
    <w:p w:rsidR="23DB3266" w:rsidP="5C938223" w:rsidRDefault="23DB3266" w14:paraId="08C777A4" w14:textId="338651E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Bateman has been trying to get a bill related to the matter passed since 2015.</w:t>
      </w:r>
    </w:p>
    <w:p w:rsidR="23DB3266" w:rsidP="5C938223" w:rsidRDefault="23DB3266" w14:paraId="7671EA54" w14:textId="11EAB3B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“Older New Jerseyans and those they leave behind should not have to play tug of war with CCRCs to get the money they are rightfully owed,” he said in a statement. “I am so glad to see the governor do the right thing by signing this bill into law.”</w:t>
      </w:r>
    </w:p>
    <w:p w:rsidR="23DB3266" w:rsidP="5C938223" w:rsidRDefault="23DB3266" w14:paraId="2405EDC0" w14:textId="0D5598F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More than 10,000 older adults live in </w:t>
      </w:r>
      <w:hyperlink r:id="Rfdf7effaf8264142">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26 CCRCs</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across New Jersey, according to the Organization of Residents Associations of New Jersey</w:t>
      </w:r>
    </w:p>
    <w:p w:rsidR="23DB3266" w:rsidP="23DB3266" w:rsidRDefault="23DB3266" w14:paraId="2E5792B0" w14:textId="01A77B25">
      <w:pPr>
        <w:rPr>
          <w:b w:val="1"/>
          <w:bCs w:val="1"/>
        </w:rPr>
      </w:pPr>
    </w:p>
    <w:p w:rsidR="3BC0E566" w:rsidP="5C938223" w:rsidRDefault="3BC0E566" w14:paraId="47BE5094" w14:textId="2936035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CCRCs, residents band together for new regulations amid bankruptcy blitz</w:t>
      </w:r>
    </w:p>
    <w:p w:rsidR="3BC0E566" w:rsidP="5C938223" w:rsidRDefault="3BC0E566" w14:paraId="5C61CFCA" w14:textId="16781EA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3BC0E566">
        <w:drawing>
          <wp:inline wp14:editId="01148AB4" wp14:anchorId="56077FC5">
            <wp:extent cx="914400" cy="914400"/>
            <wp:effectExtent l="0" t="0" r="0" b="0"/>
            <wp:docPr id="1565821820" name="" descr="Zee Johnson, Picture" title=""/>
            <wp:cNvGraphicFramePr>
              <a:graphicFrameLocks noChangeAspect="1"/>
            </wp:cNvGraphicFramePr>
            <a:graphic>
              <a:graphicData uri="http://schemas.openxmlformats.org/drawingml/2006/picture">
                <pic:pic>
                  <pic:nvPicPr>
                    <pic:cNvPr id="0" name=""/>
                    <pic:cNvPicPr/>
                  </pic:nvPicPr>
                  <pic:blipFill>
                    <a:blip r:embed="R9646a503538e4ad2">
                      <a:extLst>
                        <a:ext xmlns:a="http://schemas.openxmlformats.org/drawingml/2006/main" uri="{28A0092B-C50C-407E-A947-70E740481C1C}">
                          <a14:useLocalDpi val="0"/>
                        </a:ext>
                      </a:extLst>
                    </a:blip>
                    <a:stretch>
                      <a:fillRect/>
                    </a:stretch>
                  </pic:blipFill>
                  <pic:spPr>
                    <a:xfrm>
                      <a:off x="0" y="0"/>
                      <a:ext cx="914400" cy="914400"/>
                    </a:xfrm>
                    <a:prstGeom prst="rect">
                      <a:avLst/>
                    </a:prstGeom>
                  </pic:spPr>
                </pic:pic>
              </a:graphicData>
            </a:graphic>
          </wp:inline>
        </w:drawing>
      </w:r>
    </w:p>
    <w:p w:rsidR="3BC0E566" w:rsidP="5C938223" w:rsidRDefault="3BC0E566" w14:paraId="57B9BBAA" w14:textId="445733E2">
      <w:pP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255e1325bbef47e0">
        <w:r w:rsidRPr="5C938223" w:rsidR="3BC0E566">
          <w:rPr>
            <w:rStyle w:val="Hyperlink"/>
            <w:rFonts w:ascii="Calibri" w:hAnsi="Calibri" w:eastAsia="Calibri" w:cs="Calibri"/>
            <w:b w:val="1"/>
            <w:bCs w:val="1"/>
            <w:i w:val="0"/>
            <w:iCs w:val="0"/>
            <w:caps w:val="0"/>
            <w:smallCaps w:val="0"/>
            <w:strike w:val="0"/>
            <w:dstrike w:val="0"/>
            <w:noProof w:val="0"/>
            <w:sz w:val="22"/>
            <w:szCs w:val="22"/>
            <w:lang w:val="en-US"/>
          </w:rPr>
          <w:t>Zee Johnson</w:t>
        </w:r>
      </w:hyperlink>
    </w:p>
    <w:p w:rsidR="3BC0E566" w:rsidP="5C938223" w:rsidRDefault="3BC0E566" w14:paraId="252303C8" w14:textId="05E1FF2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May 1, 2025</w:t>
      </w:r>
    </w:p>
    <w:p w:rsidR="5C938223" w:rsidP="5C938223" w:rsidRDefault="5C938223" w14:paraId="4154CC1E" w14:textId="256CABFE">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BC0E566" w:rsidP="5C938223" w:rsidRDefault="3BC0E566" w14:paraId="0E82BB14" w14:textId="727E88D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Major provider and residents groups are pairing up to ensure the financial strength of continuing care retirement communities, following a slew of nationwide bankruptcies that resulted in millions of entrance fees.</w:t>
      </w:r>
    </w:p>
    <w:p w:rsidR="3BC0E566" w:rsidP="5C938223" w:rsidRDefault="3BC0E566" w14:paraId="756631AD" w14:textId="3B501C6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LeadingAge Southeast and the Florida Life Care Residents Association, along with other stakeholders, said Thursday they created a new work group to ensure CCRCs “remain financially viable” and offer residents stability and security.</w:t>
      </w:r>
    </w:p>
    <w:p w:rsidR="3BC0E566" w:rsidP="5C938223" w:rsidRDefault="3BC0E566" w14:paraId="0D853F5C" w14:textId="1F5D22D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It’s a collaborative effort toward change, LeadingAge Southeast Senior Director of Operations Nick Van Der Linden told </w:t>
      </w:r>
      <w:r w:rsidRPr="5C938223" w:rsidR="3BC0E566">
        <w:rPr>
          <w:rFonts w:ascii="Calibri" w:hAnsi="Calibri" w:eastAsia="Calibri" w:cs="Calibri"/>
          <w:b w:val="0"/>
          <w:bCs w:val="0"/>
          <w:i w:val="1"/>
          <w:iCs w:val="1"/>
          <w:caps w:val="0"/>
          <w:smallCaps w:val="0"/>
          <w:noProof w:val="0"/>
          <w:color w:val="000000" w:themeColor="text1" w:themeTint="FF" w:themeShade="FF"/>
          <w:sz w:val="22"/>
          <w:szCs w:val="22"/>
          <w:lang w:val="en-US"/>
        </w:rPr>
        <w:t>McKnight’s Long-Term Care News</w:t>
      </w: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Direct insight from CCRC providers is critical for developing well-rounded and reflective regulatory reform proposals, he added.</w:t>
      </w:r>
    </w:p>
    <w:p w:rsidR="3BC0E566" w:rsidP="5C938223" w:rsidRDefault="3BC0E566" w14:paraId="636FC14F" w14:textId="12FD59F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involvement of CCRC providers in this work group is a standard and essential part of the collaborative process we have engaged in when reviewing and shaping regulations for the last 30 years,” he said. “It is vital to gather input from a wide range of stakeholders — including CCRC providers, residents, investors and regulatory experts — to ensure a comprehensive understanding of the laws and regulations, and to ensure a clear understanding of the implications of any changes for residents and providers alike.”</w:t>
      </w:r>
    </w:p>
    <w:p w:rsidR="3BC0E566" w:rsidP="5C938223" w:rsidRDefault="3BC0E566" w14:paraId="3E2F7C6B" w14:textId="429FE68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There are 72 CCRCs in Florida, serving more than 30,000 residents.</w:t>
      </w:r>
    </w:p>
    <w:p w:rsidR="3BC0E566" w:rsidP="5C938223" w:rsidRDefault="3BC0E566" w14:paraId="4496D753" w14:textId="23DE31B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This week, the Florida Department of Financial Services </w:t>
      </w:r>
      <w:hyperlink r:id="Rc01eb3c4acfc408c">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announced</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it had charged the president of Tampa Life Plan Village’s board with Continuing Care Contract Fraud and misappropriation of funds, ahead of apparent plans by the CCRC to file for bankruptcy, cease operations and displace 109 residents. </w:t>
      </w:r>
    </w:p>
    <w:p w:rsidR="3BC0E566" w:rsidP="5C938223" w:rsidRDefault="3BC0E566" w14:paraId="3847A284" w14:textId="01FACD5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It is the latest of a string of financial collapses and bad media involving CCRCs across the nation. </w:t>
      </w:r>
    </w:p>
    <w:p w:rsidR="3BC0E566" w:rsidP="5C938223" w:rsidRDefault="3BC0E566" w14:paraId="017570D4" w14:textId="4CF04B3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Millions at stake</w:t>
      </w:r>
    </w:p>
    <w:p w:rsidR="3BC0E566" w:rsidP="5C938223" w:rsidRDefault="3BC0E566" w14:paraId="6B9E53E9" w14:textId="455F0F0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Last month, Florida Insurance Commissioner Michael Yaworsky had said he would “strongly advocate for more oversight control” for state CCRCs after </w:t>
      </w:r>
      <w:hyperlink r:id="R1c261fc2dac747d6">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an investigation found</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that residents of the Village lost a collective $30 million in entrance fees. </w:t>
      </w:r>
    </w:p>
    <w:p w:rsidR="3BC0E566" w:rsidP="5C938223" w:rsidRDefault="3BC0E566" w14:paraId="0F00BB19" w14:textId="5C72EFF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In 2023, the bankruptcy filing of Illinois’ </w:t>
      </w:r>
      <w:hyperlink r:id="R065504e7170e4735">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Friendship Village of Schaumburg</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the state’s largest nonprofit life plan community, brought renewed attention to resident entrance fee refunds, an issue that had already been targeted for reform by state lawmakers.</w:t>
      </w:r>
    </w:p>
    <w:p w:rsidR="3BC0E566" w:rsidP="5C938223" w:rsidRDefault="3BC0E566" w14:paraId="1D6E5E28" w14:textId="679417E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Last year, dozens of families of Friendship Village residents said that they were still </w:t>
      </w:r>
      <w:hyperlink r:id="R78b3d90a1fec4d67">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owed millions</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of dollars.</w:t>
      </w:r>
    </w:p>
    <w:p w:rsidR="3BC0E566" w:rsidP="5C938223" w:rsidRDefault="3BC0E566" w14:paraId="45BE0124" w14:textId="268EB42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In February, another Illinois CCRC — 800-resident </w:t>
      </w:r>
      <w:hyperlink r:id="Rc7f693f6d4ee4958">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Lutheran Life Communities</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in Arlington Heights — filed for Chapter 11 bankruptcy protection to try to ensure uninterrupted resident services and to reorganize the company, court filings said.</w:t>
      </w:r>
    </w:p>
    <w:p w:rsidR="3BC0E566" w:rsidP="5C938223" w:rsidRDefault="3BC0E566" w14:paraId="09A7C6EF" w14:textId="5002761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A resolution adopted by a majority of the nonprofit organization’s board of directors indicated that it had been “investigating strategic alternatives” to its financial problems to best serve its affiliates and avoid the appointment of a receiver. The senior living and care provider listed $1 million to $10 million in liabilities.</w:t>
      </w:r>
    </w:p>
    <w:p w:rsidR="3BC0E566" w:rsidP="5C938223" w:rsidRDefault="3BC0E566" w14:paraId="2704FEE5" w14:textId="45FEFBD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Florida fix</w:t>
      </w:r>
    </w:p>
    <w:p w:rsidR="3BC0E566" w:rsidP="5C938223" w:rsidRDefault="3BC0E566" w14:paraId="182B2D0E" w14:textId="2DE15E4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CCRCs in Florida are regulated by Chapter 651 of Florida Statutes, which will be a key focus of the work group’s regulatory reviews, Van Der Linden said. The coalition is also focused on developing legislation for the 2026 session. </w:t>
      </w:r>
    </w:p>
    <w:p w:rsidR="3BC0E566" w:rsidP="5C938223" w:rsidRDefault="3BC0E566" w14:paraId="10F990A6" w14:textId="6ED042F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Some of the group’s goals include:</w:t>
      </w:r>
    </w:p>
    <w:p w:rsidR="3BC0E566" w:rsidP="5C938223" w:rsidRDefault="3BC0E566" w14:paraId="20994E6E" w14:textId="2985E446">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Revisiting current legislation to ensure the state is equipped to assist finally-strapped CCRCs to protect residents’ assets;</w:t>
      </w:r>
    </w:p>
    <w:p w:rsidR="3BC0E566" w:rsidP="5C938223" w:rsidRDefault="3BC0E566" w14:paraId="04379F05" w14:textId="2A1AFB62">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Creating balanced regulatory standards that consider needed industry oversight and the operational needs of CCRCs; and </w:t>
      </w:r>
    </w:p>
    <w:p w:rsidR="3BC0E566" w:rsidP="5C938223" w:rsidRDefault="3BC0E566" w14:paraId="7D86BA47" w14:textId="040C8F28">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Backing “fair and transparent” laws that promote lasting stability for providers and residents.</w:t>
      </w:r>
    </w:p>
    <w:p w:rsidR="3BC0E566" w:rsidP="5C938223" w:rsidRDefault="3BC0E566" w14:paraId="207B4AAA" w14:textId="259C1BD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Making the move to a CCRC is one of the most significant decisions a retiree will make, Pat Burdsall, FLiCRA board president, and resident at Indian River Estates in Vero Beach. So, reform is necessary to uphold seniors’ quality of life.</w:t>
      </w:r>
    </w:p>
    <w:p w:rsidR="3BC0E566" w:rsidP="5C938223" w:rsidRDefault="3BC0E566" w14:paraId="5E7C3DA5" w14:textId="253B5F4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CCRC model has proven to support aging in place with dignity, while providing access to wellness resources and socialization with like-minded individuals,” Burdsall said. “Since CCRCs require substantial resident investment, appropriate regulatory safeguards are needed to ensure promises made are promises kept. To that end, on behalf of the 30,000 seniors living in Florida CCRCs we appreciate the collaborative efforts of all stakeholders in advancing meaningful reforms.”</w:t>
      </w:r>
    </w:p>
    <w:p w:rsidR="3BC0E566" w:rsidP="5C938223" w:rsidRDefault="3BC0E566" w14:paraId="5CD5BDDB" w14:textId="197AECB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3BC0E566" w:rsidP="5C938223" w:rsidRDefault="3BC0E566" w14:paraId="2535F238" w14:textId="4931F82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3BC0E566" w:rsidP="5C938223" w:rsidRDefault="3BC0E566" w14:paraId="19F925DC" w14:textId="0100D00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Posted in</w:t>
      </w:r>
      <w:hyperlink r:id="Rd36acd875031446f">
        <w:r w:rsidRPr="5C938223" w:rsidR="3BC0E566">
          <w:rPr>
            <w:rStyle w:val="Hyperlink"/>
            <w:rFonts w:ascii="Calibri" w:hAnsi="Calibri" w:eastAsia="Calibri" w:cs="Calibri"/>
            <w:b w:val="1"/>
            <w:bCs w:val="1"/>
            <w:i w:val="0"/>
            <w:iCs w:val="0"/>
            <w:caps w:val="0"/>
            <w:smallCaps w:val="0"/>
            <w:strike w:val="0"/>
            <w:dstrike w:val="0"/>
            <w:noProof w:val="0"/>
            <w:sz w:val="22"/>
            <w:szCs w:val="22"/>
            <w:lang w:val="en-US"/>
          </w:rPr>
          <w:t>Charlotte Ledger</w:t>
        </w:r>
      </w:hyperlink>
    </w:p>
    <w:p w:rsidR="3BC0E566" w:rsidP="5C938223" w:rsidRDefault="3BC0E566" w14:paraId="45ADCB0A" w14:textId="350D36F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Lawmakers push for stricter oversight of retirement communities</w:t>
      </w:r>
    </w:p>
    <w:p w:rsidR="3BC0E566" w:rsidP="5C938223" w:rsidRDefault="3BC0E566" w14:paraId="6A83AB44" w14:textId="48F62C4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1"/>
          <w:iCs w:val="1"/>
          <w:caps w:val="0"/>
          <w:smallCaps w:val="0"/>
          <w:noProof w:val="0"/>
          <w:color w:val="000000" w:themeColor="text1" w:themeTint="FF" w:themeShade="FF"/>
          <w:sz w:val="22"/>
          <w:szCs w:val="22"/>
          <w:lang w:val="en-US"/>
        </w:rPr>
        <w:t>Legislation would require continuing care retirement communities to increase their financial reporting and transparency — new rules experts say are long overdue</w:t>
      </w:r>
    </w:p>
    <w:p w:rsidR="3BC0E566" w:rsidP="5C938223" w:rsidRDefault="3BC0E566" w14:paraId="0ACCB404" w14:textId="1B7CB27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3BC0E566">
        <w:drawing>
          <wp:inline wp14:editId="62EE90C3" wp14:anchorId="0126289C">
            <wp:extent cx="762000" cy="762000"/>
            <wp:effectExtent l="0" t="0" r="0" b="0"/>
            <wp:docPr id="623293223" name="" descr="https://www.northcarolinahealthnews.org/wp-content/uploads/2020/05/avatar_user_57_1589114601-80x80.png, Picture" title=""/>
            <wp:cNvGraphicFramePr>
              <a:graphicFrameLocks noChangeAspect="1"/>
            </wp:cNvGraphicFramePr>
            <a:graphic>
              <a:graphicData uri="http://schemas.openxmlformats.org/drawingml/2006/picture">
                <pic:pic>
                  <pic:nvPicPr>
                    <pic:cNvPr id="0" name=""/>
                    <pic:cNvPicPr/>
                  </pic:nvPicPr>
                  <pic:blipFill>
                    <a:blip r:embed="R81c5ff4296924995">
                      <a:extLst>
                        <a:ext xmlns:a="http://schemas.openxmlformats.org/drawingml/2006/main" uri="{28A0092B-C50C-407E-A947-70E740481C1C}">
                          <a14:useLocalDpi val="0"/>
                        </a:ext>
                      </a:extLst>
                    </a:blip>
                    <a:stretch>
                      <a:fillRect/>
                    </a:stretch>
                  </pic:blipFill>
                  <pic:spPr>
                    <a:xfrm>
                      <a:off x="0" y="0"/>
                      <a:ext cx="762000" cy="762000"/>
                    </a:xfrm>
                    <a:prstGeom prst="rect">
                      <a:avLst/>
                    </a:prstGeom>
                  </pic:spPr>
                </pic:pic>
              </a:graphicData>
            </a:graphic>
          </wp:inline>
        </w:drawing>
      </w: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by </w:t>
      </w:r>
      <w:hyperlink r:id="R07a18b812e874999">
        <w:r w:rsidRPr="5C938223" w:rsidR="3BC0E566">
          <w:rPr>
            <w:rStyle w:val="Hyperlink"/>
            <w:rFonts w:ascii="Calibri" w:hAnsi="Calibri" w:eastAsia="Calibri" w:cs="Calibri"/>
            <w:b w:val="1"/>
            <w:bCs w:val="1"/>
            <w:i w:val="0"/>
            <w:iCs w:val="0"/>
            <w:caps w:val="0"/>
            <w:smallCaps w:val="0"/>
            <w:strike w:val="0"/>
            <w:dstrike w:val="0"/>
            <w:noProof w:val="0"/>
            <w:sz w:val="22"/>
            <w:szCs w:val="22"/>
            <w:lang w:val="en-US"/>
          </w:rPr>
          <w:t>Charlotte Ledger</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March 22, 2025</w:t>
      </w:r>
    </w:p>
    <w:p w:rsidR="3BC0E566" w:rsidP="5C938223" w:rsidRDefault="3BC0E566" w14:paraId="30042224" w14:textId="52691CC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Financial problems at Aldersgate, a retirement community in Charlotte, helped prompt legislation that would place more stringent requirements on continuing care retirement communities. Credit: Kevin Young/The 5 and 2 Project)</w:t>
      </w:r>
    </w:p>
    <w:p w:rsidR="3BC0E566" w:rsidP="5C938223" w:rsidRDefault="3BC0E566" w14:paraId="3DB65924" w14:textId="4E1EA50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By Cristina Bolling</w:t>
      </w:r>
    </w:p>
    <w:p w:rsidR="3BC0E566" w:rsidP="5C938223" w:rsidRDefault="3BC0E566" w14:paraId="64ACF057" w14:textId="682CB031">
      <w:pP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3a1ed6c820d9488f">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Charlotte Ledger</w:t>
        </w:r>
      </w:hyperlink>
    </w:p>
    <w:p w:rsidR="3BC0E566" w:rsidP="5C938223" w:rsidRDefault="3BC0E566" w14:paraId="2D82DB2B" w14:textId="52AF4AA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For years leading up to 2023, the financial situation at the Aldersgate retirement community in east Charlotte was quietly deteriorating, and neither state regulators nor residents grasped the magnitude of what was happening.</w:t>
      </w:r>
    </w:p>
    <w:p w:rsidR="3BC0E566" w:rsidP="5C938223" w:rsidRDefault="3BC0E566" w14:paraId="07DBA220" w14:textId="5288A26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Entrance fee refunds that were due to former residents or their estates were going unpaid.</w:t>
      </w:r>
    </w:p>
    <w:p w:rsidR="3BC0E566" w:rsidP="5C938223" w:rsidRDefault="3BC0E566" w14:paraId="501D4744" w14:textId="2186323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A new nonprofit entity was created — outside the purview of regulators — that was controlling how Aldersgate was being run.</w:t>
      </w:r>
    </w:p>
    <w:p w:rsidR="3BC0E566" w:rsidP="5C938223" w:rsidRDefault="3BC0E566" w14:paraId="00BD4BD2" w14:textId="24369F9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Residents and prospective residents weren’t getting the full picture of how Aldersgate’s financial health was crumbling.</w:t>
      </w:r>
    </w:p>
    <w:p w:rsidR="3BC0E566" w:rsidP="5C938223" w:rsidRDefault="3BC0E566" w14:paraId="7724610B" w14:textId="6381D47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By the time August 2023 rolled around, the situation was so severe that the </w:t>
      </w:r>
      <w:hyperlink r:id="R17e0af6d61824580">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N.C. Department of Insurance</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which regulates the financial side of continuing care retirement communities (CCRCs) like Aldersgate, declared Aldersgate at risk for becoming insolvent and made the unprecedented move of issuing an “order of supervision.”Now, legislation is working its way through the N.C. General Assembly with new rules about financial reporting, transparency and more. If it passes, it would help prevent another Aldersgate-type situation from happening, according to state officials and leaders within the retirement community industry.</w:t>
      </w:r>
      <w:hyperlink r:id="Rca3fcb35ef4e417f">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Senate Bill 105</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is sponsored by Republican Sen. Todd Johnson</w:t>
      </w: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w:t>
      </w: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who represents Cabarrus and Union counties, and it was the result of a 20-member task force of state regulators, leaders of CCRCs across the state, industry professionals and CCRC residents. (</w:t>
      </w:r>
      <w:hyperlink r:id="Rfe6845a004cb4eab">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House bill 357</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is a companion bill in the House.)</w:t>
      </w:r>
    </w:p>
    <w:p w:rsidR="3BC0E566" w:rsidP="5C938223" w:rsidRDefault="3BC0E566" w14:paraId="4EDBEEA0" w14:textId="4601911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Much of the work on the issue predates the Aldersgate situation — similar legislation was introduced two years ago and passed through the N.C. Senate but failed in the N.C. House — but some details in the bill were prompted by what happened at Aldersgate, said deputy insurance commissioner Jeff Trendel.</w:t>
      </w:r>
    </w:p>
    <w:p w:rsidR="3BC0E566" w:rsidP="5C938223" w:rsidRDefault="3BC0E566" w14:paraId="12FE6297" w14:textId="567D6EF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“Some of [the changes] were inspired by Aldersgate, and things that we’ve learned,” Trendel told The Charlotte Ledger in an interview on March 20.</w:t>
      </w:r>
    </w:p>
    <w:p w:rsidR="3BC0E566" w:rsidP="5C938223" w:rsidRDefault="3BC0E566" w14:paraId="66CAC98B" w14:textId="5E1390F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Since August of 2023, </w:t>
      </w:r>
      <w:hyperlink r:id="Rabbca75942854c2d">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The Ledger has been following the saga at Aldersgate</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one of Charlotte’s oldest and best-known retirement communities, as state authorities placed it under financial supervision, residents worried about its future and new leadership worked to turn around its finances. Aldersgate’s interim CEO told The Ledger this month that its board plans to vote on an “affiliation” with another entity next week, which if approved would improve the community’s finances.</w:t>
      </w:r>
    </w:p>
    <w:p w:rsidR="3BC0E566" w:rsidP="5C938223" w:rsidRDefault="3BC0E566" w14:paraId="058B1C5A" w14:textId="19BE358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Aldersgate’s plight has been closely watched by other retirement communities and their residents, and it has </w:t>
      </w:r>
      <w:hyperlink r:id="Ref36bb0485e442d9">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received national attention as a cautionary tale</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of how prospective residents should vet the places where they plan to spend their retirement years. The turmoil and turnaround have received almost no other local media attention.</w:t>
      </w:r>
    </w:p>
    <w:p w:rsidR="3BC0E566" w:rsidP="5C938223" w:rsidRDefault="3BC0E566" w14:paraId="6E54AB2B" w14:textId="5273ACF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Here are five key highlights of what the bill would do:</w:t>
      </w:r>
    </w:p>
    <w:p w:rsidR="3BC0E566" w:rsidP="5C938223" w:rsidRDefault="3BC0E566" w14:paraId="605BA2ED" w14:textId="79799DB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mbria Math" w:hAnsi="Cambria Math" w:eastAsia="Cambria Math" w:cs="Cambria Math"/>
          <w:b w:val="1"/>
          <w:bCs w:val="1"/>
          <w:i w:val="0"/>
          <w:iCs w:val="0"/>
          <w:caps w:val="0"/>
          <w:smallCaps w:val="0"/>
          <w:noProof w:val="0"/>
          <w:color w:val="000000" w:themeColor="text1" w:themeTint="FF" w:themeShade="FF"/>
          <w:sz w:val="22"/>
          <w:szCs w:val="22"/>
          <w:lang w:val="en-US"/>
        </w:rPr>
        <w:t>◼</w:t>
      </w: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️Boost financial reporting: </w:t>
      </w: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CCRCs would be required to turn over financial statements quarterly to the N.C. Department of Insurance — not annually, as they are now. Currently, CCRCs include financial statements in the disclosure statements they’re required to update annually for the public. But quarterly reporting to the state would allow regulators to spot financial trouble earlier.</w:t>
      </w:r>
    </w:p>
    <w:p w:rsidR="3BC0E566" w:rsidP="5C938223" w:rsidRDefault="3BC0E566" w14:paraId="248E936D" w14:textId="54E4096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mbria Math" w:hAnsi="Cambria Math" w:eastAsia="Cambria Math" w:cs="Cambria Math"/>
          <w:b w:val="1"/>
          <w:bCs w:val="1"/>
          <w:i w:val="0"/>
          <w:iCs w:val="0"/>
          <w:caps w:val="0"/>
          <w:smallCaps w:val="0"/>
          <w:noProof w:val="0"/>
          <w:color w:val="000000" w:themeColor="text1" w:themeTint="FF" w:themeShade="FF"/>
          <w:sz w:val="22"/>
          <w:szCs w:val="22"/>
          <w:lang w:val="en-US"/>
        </w:rPr>
        <w:t>◼</w:t>
      </w: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️Beef up what goes into the disclosure statements that the public can view</w:t>
      </w: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CCRCs are required to provide prospective residents with a document that gives an overview of how the community is structured, its services, fees, who the leaders are and a snapshot of its finances.</w:t>
      </w:r>
    </w:p>
    <w:p w:rsidR="3BC0E566" w:rsidP="5C938223" w:rsidRDefault="3BC0E566" w14:paraId="29641DA9" w14:textId="215AB5D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new bill spells out some more specific requirements that must be in the disclosure statements, including any plans for expansions or renovations and eight key financial metrics or ratios.</w:t>
      </w:r>
    </w:p>
    <w:p w:rsidR="5C938223" w:rsidP="5C938223" w:rsidRDefault="5C938223" w14:paraId="736EC24A" w14:textId="3561FD91">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BC0E566" w:rsidP="5C938223" w:rsidRDefault="3BC0E566" w14:paraId="728FFCF7" w14:textId="723E053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mbria Math" w:hAnsi="Cambria Math" w:eastAsia="Cambria Math" w:cs="Cambria Math"/>
          <w:b w:val="1"/>
          <w:bCs w:val="1"/>
          <w:i w:val="0"/>
          <w:iCs w:val="0"/>
          <w:caps w:val="0"/>
          <w:smallCaps w:val="0"/>
          <w:noProof w:val="0"/>
          <w:color w:val="000000" w:themeColor="text1" w:themeTint="FF" w:themeShade="FF"/>
          <w:sz w:val="22"/>
          <w:szCs w:val="22"/>
          <w:lang w:val="en-US"/>
        </w:rPr>
        <w:t>◼</w:t>
      </w: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️Alert residents and the NCDOI if communities are failing to pay out entrance fee refunds</w:t>
      </w: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Most people who move into CCRCs pay large entrance fees with the promise that a percentage of the fees will be paid back to the resident or their estate when the resident moves out or passes away.</w:t>
      </w:r>
    </w:p>
    <w:p w:rsidR="3BC0E566" w:rsidP="5C938223" w:rsidRDefault="3BC0E566" w14:paraId="37B49B3F" w14:textId="64A7312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Top of Form</w:t>
      </w:r>
    </w:p>
    <w:p w:rsidR="5C938223" w:rsidP="5C938223" w:rsidRDefault="5C938223" w14:paraId="634C5CA4" w14:textId="1482A0AC">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5C938223" w:rsidP="5C938223" w:rsidRDefault="5C938223" w14:paraId="26A2B871" w14:textId="386BE7D8">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5C938223" w:rsidP="5C938223" w:rsidRDefault="5C938223" w14:paraId="02352E85" w14:textId="3FE83EB7">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5C938223" w:rsidP="5C938223" w:rsidRDefault="5C938223" w14:paraId="27F9E5E3" w14:textId="0AAE21A2">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BC0E566" w:rsidP="5C938223" w:rsidRDefault="3BC0E566" w14:paraId="2F5539D3" w14:textId="412CC9F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Bottom of Form</w:t>
      </w:r>
    </w:p>
    <w:p w:rsidR="3BC0E566" w:rsidP="5C938223" w:rsidRDefault="3BC0E566" w14:paraId="4A4A9934" w14:textId="64452B5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In the case of Aldersgate, some former residents or their estates weren’t being paid back, or were being paid back late, because of the community’s financial trouble. The new bill would require CCRCs to notify NCDOI and residents within 10 days if they become more than 30 days past due on entrance fee refunds.</w:t>
      </w:r>
    </w:p>
    <w:p w:rsidR="3BC0E566" w:rsidP="5C938223" w:rsidRDefault="3BC0E566" w14:paraId="3B4AF9FA" w14:textId="10CA4D9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mbria Math" w:hAnsi="Cambria Math" w:eastAsia="Cambria Math" w:cs="Cambria Math"/>
          <w:b w:val="1"/>
          <w:bCs w:val="1"/>
          <w:i w:val="0"/>
          <w:iCs w:val="0"/>
          <w:caps w:val="0"/>
          <w:smallCaps w:val="0"/>
          <w:noProof w:val="0"/>
          <w:color w:val="000000" w:themeColor="text1" w:themeTint="FF" w:themeShade="FF"/>
          <w:sz w:val="22"/>
          <w:szCs w:val="22"/>
          <w:lang w:val="en-US"/>
        </w:rPr>
        <w:t>◼</w:t>
      </w: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️Require CCRCs to be transparent about who’s in charge</w:t>
      </w: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In the case of Aldersgate, the community’s administration and board of directors created a separate nonprofit outside of NCDOI supervision called Aldersgate Life Plan Services (ALPS) that acted as a parent company to the Aldersgate community.</w:t>
      </w:r>
    </w:p>
    <w:p w:rsidR="3BC0E566" w:rsidP="5C938223" w:rsidRDefault="3BC0E566" w14:paraId="504FAFB9" w14:textId="7F1EB18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New legislation would require CCRCs to alert NCDOI when there are changes in bylaws or other organizational documents. For example, Trendel said he was aware that ALPS existed, but not that the Aldersgate bylaws had changed “where all of the control was being given to ALPS.”</w:t>
      </w:r>
    </w:p>
    <w:p w:rsidR="3BC0E566" w:rsidP="5C938223" w:rsidRDefault="3BC0E566" w14:paraId="01EEC4F0" w14:textId="7D1BE2A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Under the proposed legislation, state regulators would need to be looped in when a community is considering making a change like that one.</w:t>
      </w:r>
    </w:p>
    <w:p w:rsidR="3BC0E566" w:rsidP="5C938223" w:rsidRDefault="3BC0E566" w14:paraId="03A332D1" w14:textId="4A0F40F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Stability ‘until the day they put us in the box’</w:t>
      </w:r>
    </w:p>
    <w:p w:rsidR="3BC0E566" w:rsidP="5C938223" w:rsidRDefault="3BC0E566" w14:paraId="7B290B6F" w14:textId="25A92C2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Skip Kingan, president of the </w:t>
      </w:r>
      <w:hyperlink r:id="R57bd6b52dce14759">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North Carolina Continuing Care Residents Association</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(NorCCRA) and a resident of a CCRC in Durham, said stability and transparency have been top priorities for NorCCRA members who’ve been watching or involved in drafting the legislation.</w:t>
      </w:r>
    </w:p>
    <w:p w:rsidR="3BC0E566" w:rsidP="5C938223" w:rsidRDefault="3BC0E566" w14:paraId="3DDFE71A" w14:textId="0A35264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NorCCRA members were part of the 20-person task force that worked on the new bill.</w:t>
      </w:r>
    </w:p>
    <w:p w:rsidR="3BC0E566" w:rsidP="5C938223" w:rsidRDefault="3BC0E566" w14:paraId="5B5906E9" w14:textId="33ACB87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“We’ve all kind of dedicated our remaining lives to living in a continuing care community, and that is something that we wanted to reinforce — that the continuum of care would always be there,” Kingan said.</w:t>
      </w:r>
    </w:p>
    <w:p w:rsidR="3BC0E566" w:rsidP="5C938223" w:rsidRDefault="3BC0E566" w14:paraId="31A3884D" w14:textId="7DEC4B0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“With all the different models that are showing up these days, it’s very important that somebody moving into a CCRC can expect to be taken care of from the day he moves in until the day they put us in the box,” he said. “This statute reinforces that.”</w:t>
      </w:r>
    </w:p>
    <w:p w:rsidR="3BC0E566" w:rsidP="5C938223" w:rsidRDefault="3BC0E566" w14:paraId="0FC7A5F7" w14:textId="24B7117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Tom Akins, president and CEO of </w:t>
      </w:r>
      <w:hyperlink r:id="R2ae1a1847326450f">
        <w:r w:rsidRPr="5C938223" w:rsidR="3BC0E566">
          <w:rPr>
            <w:rStyle w:val="Hyperlink"/>
            <w:rFonts w:ascii="Calibri" w:hAnsi="Calibri" w:eastAsia="Calibri" w:cs="Calibri"/>
            <w:b w:val="0"/>
            <w:bCs w:val="0"/>
            <w:i w:val="0"/>
            <w:iCs w:val="0"/>
            <w:caps w:val="0"/>
            <w:smallCaps w:val="0"/>
            <w:strike w:val="0"/>
            <w:dstrike w:val="0"/>
            <w:noProof w:val="0"/>
            <w:sz w:val="22"/>
            <w:szCs w:val="22"/>
            <w:lang w:val="en-US"/>
          </w:rPr>
          <w:t>LeadingAge North Carolina</w:t>
        </w:r>
      </w:hyperlink>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 a nonprofit membership association of about 50 nonprofit retirement communities across the state, said one of the best things to come of work on the new legislation was the unity it brought between CCRC leaders, residents and regulators.</w:t>
      </w:r>
    </w:p>
    <w:p w:rsidR="3BC0E566" w:rsidP="5C938223" w:rsidRDefault="3BC0E566" w14:paraId="50AC1236" w14:textId="2B571A3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LeadingAge of North Carolina and NorCCRA are in talks to work together on a primer for residents and prospective residents about how to read CCRC disclosure statements, which can be long and hard to navigate.</w:t>
      </w:r>
    </w:p>
    <w:p w:rsidR="3BC0E566" w:rsidP="5C938223" w:rsidRDefault="3BC0E566" w14:paraId="4B46105F" w14:textId="7F704C4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“I think there’s some unplanned benefits out of this whole process, and that’s certainly one of those,” Akins said.</w:t>
      </w:r>
    </w:p>
    <w:p w:rsidR="3BC0E566" w:rsidP="5C938223" w:rsidRDefault="3BC0E566" w14:paraId="7E8982FF" w14:textId="0BB372C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1"/>
          <w:bCs w:val="1"/>
          <w:i w:val="0"/>
          <w:iCs w:val="0"/>
          <w:caps w:val="0"/>
          <w:smallCaps w:val="0"/>
          <w:noProof w:val="0"/>
          <w:color w:val="000000" w:themeColor="text1" w:themeTint="FF" w:themeShade="FF"/>
          <w:sz w:val="22"/>
          <w:szCs w:val="22"/>
          <w:lang w:val="en-US"/>
        </w:rPr>
        <w:t>An attempt to get caught up</w:t>
      </w:r>
    </w:p>
    <w:p w:rsidR="3BC0E566" w:rsidP="5C938223" w:rsidRDefault="3BC0E566" w14:paraId="72B38AF2" w14:textId="18AFF48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new rules are long overdue, said Kingan, Akins and Trendel.</w:t>
      </w:r>
    </w:p>
    <w:p w:rsidR="3BC0E566" w:rsidP="5C938223" w:rsidRDefault="3BC0E566" w14:paraId="12C5F72F" w14:textId="1E9A5A6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Current regulations governing CCRCs were created in the 1980s, when the retirement home landscape in Charlotte and across the state was much simpler, and mostly made up of mission-driven, church-affiliated nonprofits on single sites.</w:t>
      </w:r>
    </w:p>
    <w:p w:rsidR="3BC0E566" w:rsidP="5C938223" w:rsidRDefault="3BC0E566" w14:paraId="75338470" w14:textId="3149D85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But as the demand for senior living options grew due to increasing life expectancy and an aging population, private investment surged. For-profit companies recognized the financial potential of offering independent living, assisted living, and skilled nursing services under one roof.</w:t>
      </w:r>
    </w:p>
    <w:p w:rsidR="3BC0E566" w:rsidP="5C938223" w:rsidRDefault="3BC0E566" w14:paraId="7263DF94" w14:textId="451FC5A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Today, CCRCs operate on a much larger scale, incorporating luxury amenities, diverse service models, and high-end real estate developments to attract affluent retirees.</w:t>
      </w:r>
    </w:p>
    <w:p w:rsidR="3BC0E566" w:rsidP="5C938223" w:rsidRDefault="3BC0E566" w14:paraId="16E45D10" w14:textId="50F7B78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Even nonprofit retirement communities often have parent-subsidiary relationships these days, Trendel said, with a larger nonprofit organization owning or overseeing multiple CCRCs. This shift mirrors trends in the for-profit sector.</w:t>
      </w:r>
    </w:p>
    <w:p w:rsidR="3BC0E566" w:rsidP="5C938223" w:rsidRDefault="3BC0E566" w14:paraId="266130F2" w14:textId="6523A02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0"/>
          <w:iCs w:val="0"/>
          <w:caps w:val="0"/>
          <w:smallCaps w:val="0"/>
          <w:noProof w:val="0"/>
          <w:color w:val="000000" w:themeColor="text1" w:themeTint="FF" w:themeShade="FF"/>
          <w:sz w:val="22"/>
          <w:szCs w:val="22"/>
          <w:lang w:val="en-US"/>
        </w:rPr>
        <w:t>“The organizational structures have gotten much more complicated,” Trendel said. “The industry has evolved, but our laws didn’t really evolve with it. So this was our attempt to get things caught back up.”</w:t>
      </w:r>
    </w:p>
    <w:p w:rsidR="3BC0E566" w:rsidP="5C938223" w:rsidRDefault="3BC0E566" w14:paraId="7A9834E3" w14:textId="180128A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3BC0E566">
        <w:rPr>
          <w:rFonts w:ascii="Calibri" w:hAnsi="Calibri" w:eastAsia="Calibri" w:cs="Calibri"/>
          <w:b w:val="0"/>
          <w:bCs w:val="0"/>
          <w:i w:val="1"/>
          <w:iCs w:val="1"/>
          <w:caps w:val="0"/>
          <w:smallCaps w:val="0"/>
          <w:noProof w:val="0"/>
          <w:color w:val="000000" w:themeColor="text1" w:themeTint="FF" w:themeShade="FF"/>
          <w:sz w:val="22"/>
          <w:szCs w:val="22"/>
          <w:lang w:val="en-US"/>
        </w:rPr>
        <w:t>Cristina Bolling is managing editor of The Charlotte Ledger: </w:t>
      </w:r>
      <w:hyperlink r:id="R8effc38224034070">
        <w:r w:rsidRPr="5C938223" w:rsidR="3BC0E566">
          <w:rPr>
            <w:rStyle w:val="Hyperlink"/>
            <w:rFonts w:ascii="Calibri" w:hAnsi="Calibri" w:eastAsia="Calibri" w:cs="Calibri"/>
            <w:b w:val="0"/>
            <w:bCs w:val="0"/>
            <w:i w:val="1"/>
            <w:iCs w:val="1"/>
            <w:caps w:val="0"/>
            <w:smallCaps w:val="0"/>
            <w:noProof w:val="0"/>
            <w:sz w:val="22"/>
            <w:szCs w:val="22"/>
            <w:lang w:val="en-US"/>
          </w:rPr>
          <w:t>cristina@cltledger.com</w:t>
        </w:r>
      </w:hyperlink>
    </w:p>
    <w:p w:rsidR="5C938223" w:rsidP="5C938223" w:rsidRDefault="5C938223" w14:paraId="6D5CE6BA" w14:textId="6FFE1DCA">
      <w:pPr>
        <w:rPr>
          <w:b w:val="1"/>
          <w:bCs w:val="1"/>
        </w:rPr>
      </w:pPr>
    </w:p>
    <w:p w:rsidR="7E306194" w:rsidP="5C938223" w:rsidRDefault="7E306194" w14:paraId="1833068B" w14:textId="60048D7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CCRCs, residents band together for new regulations amid bankruptcy blitz</w:t>
      </w:r>
    </w:p>
    <w:p w:rsidR="7E306194" w:rsidP="5C938223" w:rsidRDefault="7E306194" w14:paraId="224A0F9A" w14:textId="4722E16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7E306194">
        <w:drawing>
          <wp:inline wp14:editId="785A734E" wp14:anchorId="7344A483">
            <wp:extent cx="914400" cy="914400"/>
            <wp:effectExtent l="0" t="0" r="0" b="0"/>
            <wp:docPr id="2009393609" name="" descr="Zee Johnson, Picture" title=""/>
            <wp:cNvGraphicFramePr>
              <a:graphicFrameLocks noChangeAspect="1"/>
            </wp:cNvGraphicFramePr>
            <a:graphic>
              <a:graphicData uri="http://schemas.openxmlformats.org/drawingml/2006/picture">
                <pic:pic>
                  <pic:nvPicPr>
                    <pic:cNvPr id="0" name=""/>
                    <pic:cNvPicPr/>
                  </pic:nvPicPr>
                  <pic:blipFill>
                    <a:blip r:embed="Rcfc37e9a28794f86">
                      <a:extLst>
                        <a:ext xmlns:a="http://schemas.openxmlformats.org/drawingml/2006/main" uri="{28A0092B-C50C-407E-A947-70E740481C1C}">
                          <a14:useLocalDpi val="0"/>
                        </a:ext>
                      </a:extLst>
                    </a:blip>
                    <a:stretch>
                      <a:fillRect/>
                    </a:stretch>
                  </pic:blipFill>
                  <pic:spPr>
                    <a:xfrm>
                      <a:off x="0" y="0"/>
                      <a:ext cx="914400" cy="914400"/>
                    </a:xfrm>
                    <a:prstGeom prst="rect">
                      <a:avLst/>
                    </a:prstGeom>
                  </pic:spPr>
                </pic:pic>
              </a:graphicData>
            </a:graphic>
          </wp:inline>
        </w:drawing>
      </w:r>
    </w:p>
    <w:p w:rsidR="7E306194" w:rsidP="5C938223" w:rsidRDefault="7E306194" w14:paraId="7F6D7377" w14:textId="36B56212">
      <w:pP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491f271ad9314074">
        <w:r w:rsidRPr="5C938223" w:rsidR="7E306194">
          <w:rPr>
            <w:rStyle w:val="Hyperlink"/>
            <w:rFonts w:ascii="Calibri" w:hAnsi="Calibri" w:eastAsia="Calibri" w:cs="Calibri"/>
            <w:b w:val="1"/>
            <w:bCs w:val="1"/>
            <w:i w:val="0"/>
            <w:iCs w:val="0"/>
            <w:caps w:val="0"/>
            <w:smallCaps w:val="0"/>
            <w:strike w:val="0"/>
            <w:dstrike w:val="0"/>
            <w:noProof w:val="0"/>
            <w:sz w:val="22"/>
            <w:szCs w:val="22"/>
            <w:lang w:val="en-US"/>
          </w:rPr>
          <w:t>Zee Johnson</w:t>
        </w:r>
      </w:hyperlink>
    </w:p>
    <w:p w:rsidR="7E306194" w:rsidP="5C938223" w:rsidRDefault="7E306194" w14:paraId="38240DCE" w14:textId="57A6420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May 1, 2025</w:t>
      </w:r>
    </w:p>
    <w:p w:rsidR="7E306194" w:rsidP="5C938223" w:rsidRDefault="7E306194" w14:paraId="44419EE3" w14:textId="0F6A05B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Major provider and residents groups are pairing up to ensure the financial strength of continuing care retirement communities, following a slew of nationwide bankruptcies that resulted in millions of entrance fees.</w:t>
      </w:r>
    </w:p>
    <w:p w:rsidR="7E306194" w:rsidP="5C938223" w:rsidRDefault="7E306194" w14:paraId="77338A6F" w14:textId="7F09A6B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LeadingAge Southeast and the Florida Life Care Residents Association, along with other stakeholders, said Thursday they created a new work group to ensure CCRCs “remain financially viable” and offer residents stability and security.</w:t>
      </w:r>
    </w:p>
    <w:p w:rsidR="7E306194" w:rsidP="5C938223" w:rsidRDefault="7E306194" w14:paraId="0D714DCD" w14:textId="76B9F2F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It’s a collaborative effort toward change, LeadingAge Southeast Senior Director of Operations Nick Van Der Linden told </w:t>
      </w:r>
      <w:r w:rsidRPr="5C938223" w:rsidR="7E306194">
        <w:rPr>
          <w:rFonts w:ascii="Calibri" w:hAnsi="Calibri" w:eastAsia="Calibri" w:cs="Calibri"/>
          <w:b w:val="0"/>
          <w:bCs w:val="0"/>
          <w:i w:val="1"/>
          <w:iCs w:val="1"/>
          <w:caps w:val="0"/>
          <w:smallCaps w:val="0"/>
          <w:noProof w:val="0"/>
          <w:color w:val="000000" w:themeColor="text1" w:themeTint="FF" w:themeShade="FF"/>
          <w:sz w:val="22"/>
          <w:szCs w:val="22"/>
          <w:lang w:val="en-US"/>
        </w:rPr>
        <w:t>McKnight’s Long-Term Care News</w:t>
      </w: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Direct insight from CCRC providers is critical for developing well-rounded and reflective regulatory reform proposals, he added.</w:t>
      </w:r>
    </w:p>
    <w:p w:rsidR="7E306194" w:rsidP="5C938223" w:rsidRDefault="7E306194" w14:paraId="72A4C212" w14:textId="041C2D2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“The involvement of CCRC providers in this work group is a standard and essential part of the collaborative process we have engaged in when reviewing and shaping regulations for the last 30 years,” he said. “It is vital to gather input from a wide range of stakeholders — including CCRC providers, residents, investors and regulatory experts — to ensure a comprehensive understanding of the laws and regulations, and to ensure a clear understanding of the implications of any changes for residents and providers alike.”</w:t>
      </w:r>
    </w:p>
    <w:p w:rsidR="7E306194" w:rsidP="5C938223" w:rsidRDefault="7E306194" w14:paraId="2363DD77" w14:textId="065F6BC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There are 72 CCRCs in Florida, serving more than 30,000 residents.</w:t>
      </w:r>
    </w:p>
    <w:p w:rsidR="7E306194" w:rsidP="5C938223" w:rsidRDefault="7E306194" w14:paraId="00878CAB" w14:textId="5F0E5BE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This week, the Florida Department of Financial Services </w:t>
      </w:r>
      <w:hyperlink r:id="Rb82c393a4f6848dc">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announced</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it had charged the president of Tampa Life Plan Village’s board with Continuing Care Contract Fraud and misappropriation of funds, ahead of apparent plans by the CCRC to file for bankruptcy, cease operations and displace 109 residents. </w:t>
      </w:r>
    </w:p>
    <w:p w:rsidR="7E306194" w:rsidP="5C938223" w:rsidRDefault="7E306194" w14:paraId="6A0C1791" w14:textId="3C4B990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It is the latest of a string of financial collapses and bad media involving CCRCs across the nation. </w:t>
      </w:r>
    </w:p>
    <w:p w:rsidR="7E306194" w:rsidP="5C938223" w:rsidRDefault="7E306194" w14:paraId="05BA4286" w14:textId="2F50A46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Millions at stake</w:t>
      </w:r>
    </w:p>
    <w:p w:rsidR="7E306194" w:rsidP="5C938223" w:rsidRDefault="7E306194" w14:paraId="6D8CAF00" w14:textId="2D84BFE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Last month, Florida Insurance Commissioner Michael Yaworsky had said he would “strongly advocate for more oversight control” for state CCRCs after </w:t>
      </w:r>
      <w:hyperlink r:id="Rd0b8273048384637">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an investigation found</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that residents of the Village lost a collective $30 million in entrance fees. </w:t>
      </w:r>
    </w:p>
    <w:p w:rsidR="7E306194" w:rsidP="5C938223" w:rsidRDefault="7E306194" w14:paraId="330B5AD6" w14:textId="7835B56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In 2023, the bankruptcy filing of Illinois’ </w:t>
      </w:r>
      <w:hyperlink r:id="Rbd0b8f9095044b35">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Friendship Village of Schaumburg</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the state’s largest nonprofit life plan community, brought renewed attention to resident entrance fee refunds, an issue that had already been targeted for reform by state lawmakers.</w:t>
      </w:r>
    </w:p>
    <w:p w:rsidR="7E306194" w:rsidP="5C938223" w:rsidRDefault="7E306194" w14:paraId="547168C8" w14:textId="15ADEE1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Last year, dozens of families of Friendship Village residents said that they were still </w:t>
      </w:r>
      <w:hyperlink r:id="R7da26220c7c548cc">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owed millions</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of dollars.</w:t>
      </w:r>
    </w:p>
    <w:p w:rsidR="7E306194" w:rsidP="5C938223" w:rsidRDefault="7E306194" w14:paraId="56BC82D3" w14:textId="77D423E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In February, another Illinois CCRC — 800-resident </w:t>
      </w:r>
      <w:hyperlink r:id="R83584df148fc4902">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Lutheran Life Communities</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in Arlington Heights — filed for Chapter 11 bankruptcy protection to try to ensure uninterrupted resident services and to reorganize the company, court filings said.</w:t>
      </w:r>
    </w:p>
    <w:p w:rsidR="7E306194" w:rsidP="5C938223" w:rsidRDefault="7E306194" w14:paraId="1EDEF1F8" w14:textId="7C5238B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A resolution adopted by a majority of the nonprofit organization’s board of directors indicated that it had been “investigating strategic alternatives” to its financial problems to best serve its affiliates and avoid the appointment of a receiver. The senior living and care provider listed $1 million to $10 million in liabilities.</w:t>
      </w:r>
    </w:p>
    <w:p w:rsidR="7E306194" w:rsidP="5C938223" w:rsidRDefault="7E306194" w14:paraId="299C0D66" w14:textId="1D76D60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Florida fix</w:t>
      </w:r>
    </w:p>
    <w:p w:rsidR="7E306194" w:rsidP="5C938223" w:rsidRDefault="7E306194" w14:paraId="0A1AF10D" w14:textId="2281242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CCRCs in Florida are regulated by Chapter 651 of Florida Statutes, which will be a key focus of the work group’s regulatory reviews, Van Der Linden said. The coalition is also focused on developing legislation for the 2026 session. </w:t>
      </w:r>
    </w:p>
    <w:p w:rsidR="7E306194" w:rsidP="5C938223" w:rsidRDefault="7E306194" w14:paraId="73E47C23" w14:textId="3393FF7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Some of the group’s goals include:</w:t>
      </w:r>
    </w:p>
    <w:p w:rsidR="7E306194" w:rsidP="5C938223" w:rsidRDefault="7E306194" w14:paraId="68E62111" w14:textId="14A93062">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Revisiting current legislation to ensure the state is equipped to assist finally-strapped CCRCs to protect residents’ assets;</w:t>
      </w:r>
    </w:p>
    <w:p w:rsidR="7E306194" w:rsidP="5C938223" w:rsidRDefault="7E306194" w14:paraId="532AA4E2" w14:textId="114A3CA7">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Creating balanced regulatory standards that consider needed industry oversight and the operational needs of CCRCs; and </w:t>
      </w:r>
    </w:p>
    <w:p w:rsidR="7E306194" w:rsidP="5C938223" w:rsidRDefault="7E306194" w14:paraId="250A5601" w14:textId="1E90BEAE">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Backing “fair and transparent” laws that promote lasting stability for providers and residents.</w:t>
      </w:r>
    </w:p>
    <w:p w:rsidR="7E306194" w:rsidP="5C938223" w:rsidRDefault="7E306194" w14:paraId="3B45B223" w14:textId="03DBD06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Making the move to a CCRC is one of the most significant decisions a retiree will make, Pat Burdsall, FLiCRA board president, and resident at Indian River Estates in Vero Beach. So, reform is necessary to uphold seniors’ quality of life.</w:t>
      </w:r>
    </w:p>
    <w:p w:rsidR="7E306194" w:rsidP="5C938223" w:rsidRDefault="7E306194" w14:paraId="147A0540" w14:textId="1BF4ABE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“The CCRC model has proven to support aging in place with dignity, while providing access to wellness resources and socialization with like-minded individuals,” Burdsall said. “Since CCRCs require substantial resident investment, appropriate regulatory safeguards are needed to ensure promises made are promises kept. To that end, on behalf of the 30,000 seniors living in Florida CCRCs we appreciate the collaborative efforts of all stakeholders in advancing meaningful reforms.”</w:t>
      </w:r>
    </w:p>
    <w:p w:rsidR="7E306194" w:rsidP="5C938223" w:rsidRDefault="7E306194" w14:paraId="6568AB1F" w14:textId="4978736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7E306194" w:rsidP="5C938223" w:rsidRDefault="7E306194" w14:paraId="6A012F0C" w14:textId="736285B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7E306194" w:rsidP="5C938223" w:rsidRDefault="7E306194" w14:paraId="077B7C84" w14:textId="57F6003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Posted in</w:t>
      </w:r>
      <w:hyperlink r:id="R94f7ad38e4854c60">
        <w:r w:rsidRPr="5C938223" w:rsidR="7E306194">
          <w:rPr>
            <w:rStyle w:val="Hyperlink"/>
            <w:rFonts w:ascii="Calibri" w:hAnsi="Calibri" w:eastAsia="Calibri" w:cs="Calibri"/>
            <w:b w:val="1"/>
            <w:bCs w:val="1"/>
            <w:i w:val="0"/>
            <w:iCs w:val="0"/>
            <w:caps w:val="0"/>
            <w:smallCaps w:val="0"/>
            <w:strike w:val="0"/>
            <w:dstrike w:val="0"/>
            <w:noProof w:val="0"/>
            <w:sz w:val="22"/>
            <w:szCs w:val="22"/>
            <w:lang w:val="en-US"/>
          </w:rPr>
          <w:t>Charlotte Ledger</w:t>
        </w:r>
      </w:hyperlink>
    </w:p>
    <w:p w:rsidR="7E306194" w:rsidP="5C938223" w:rsidRDefault="7E306194" w14:paraId="74210A96" w14:textId="5638174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Lawmakers push for stricter oversight of retirement communities</w:t>
      </w:r>
    </w:p>
    <w:p w:rsidR="7E306194" w:rsidP="5C938223" w:rsidRDefault="7E306194" w14:paraId="6FE8FEBF" w14:textId="67ABC58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1"/>
          <w:iCs w:val="1"/>
          <w:caps w:val="0"/>
          <w:smallCaps w:val="0"/>
          <w:noProof w:val="0"/>
          <w:color w:val="000000" w:themeColor="text1" w:themeTint="FF" w:themeShade="FF"/>
          <w:sz w:val="22"/>
          <w:szCs w:val="22"/>
          <w:lang w:val="en-US"/>
        </w:rPr>
        <w:t>Legislation would require continuing care retirement communities to increase their financial reporting and transparency — new rules experts say are long overdue</w:t>
      </w:r>
    </w:p>
    <w:p w:rsidR="7E306194" w:rsidP="5C938223" w:rsidRDefault="7E306194" w14:paraId="45487D02" w14:textId="248FC61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7E306194">
        <w:drawing>
          <wp:inline wp14:editId="337D2FD7" wp14:anchorId="53B76CE4">
            <wp:extent cx="762000" cy="762000"/>
            <wp:effectExtent l="0" t="0" r="0" b="0"/>
            <wp:docPr id="662970566" name="" descr="https://www.northcarolinahealthnews.org/wp-content/uploads/2020/05/avatar_user_57_1589114601-80x80.png, Picture" title=""/>
            <wp:cNvGraphicFramePr>
              <a:graphicFrameLocks noChangeAspect="1"/>
            </wp:cNvGraphicFramePr>
            <a:graphic>
              <a:graphicData uri="http://schemas.openxmlformats.org/drawingml/2006/picture">
                <pic:pic>
                  <pic:nvPicPr>
                    <pic:cNvPr id="0" name=""/>
                    <pic:cNvPicPr/>
                  </pic:nvPicPr>
                  <pic:blipFill>
                    <a:blip r:embed="Ra2bcc3c460a04387">
                      <a:extLst>
                        <a:ext xmlns:a="http://schemas.openxmlformats.org/drawingml/2006/main" uri="{28A0092B-C50C-407E-A947-70E740481C1C}">
                          <a14:useLocalDpi val="0"/>
                        </a:ext>
                      </a:extLst>
                    </a:blip>
                    <a:stretch>
                      <a:fillRect/>
                    </a:stretch>
                  </pic:blipFill>
                  <pic:spPr>
                    <a:xfrm>
                      <a:off x="0" y="0"/>
                      <a:ext cx="762000" cy="762000"/>
                    </a:xfrm>
                    <a:prstGeom prst="rect">
                      <a:avLst/>
                    </a:prstGeom>
                  </pic:spPr>
                </pic:pic>
              </a:graphicData>
            </a:graphic>
          </wp:inline>
        </w:drawing>
      </w: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by </w:t>
      </w:r>
      <w:hyperlink r:id="R882be45d2a2a4398">
        <w:r w:rsidRPr="5C938223" w:rsidR="7E306194">
          <w:rPr>
            <w:rStyle w:val="Hyperlink"/>
            <w:rFonts w:ascii="Calibri" w:hAnsi="Calibri" w:eastAsia="Calibri" w:cs="Calibri"/>
            <w:b w:val="1"/>
            <w:bCs w:val="1"/>
            <w:i w:val="0"/>
            <w:iCs w:val="0"/>
            <w:caps w:val="0"/>
            <w:smallCaps w:val="0"/>
            <w:strike w:val="0"/>
            <w:dstrike w:val="0"/>
            <w:noProof w:val="0"/>
            <w:sz w:val="22"/>
            <w:szCs w:val="22"/>
            <w:lang w:val="en-US"/>
          </w:rPr>
          <w:t>Charlotte Ledger</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March 22, 2025</w:t>
      </w:r>
    </w:p>
    <w:p w:rsidR="7E306194" w:rsidP="5C938223" w:rsidRDefault="7E306194" w14:paraId="70AC5AF1" w14:textId="0752F89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Financial problems at Aldersgate, a retirement community in Charlotte, helped prompt legislation that would place more stringent requirements on continuing care retirement communities. Credit: Kevin Young/The 5 and 2 Project)</w:t>
      </w:r>
    </w:p>
    <w:p w:rsidR="7E306194" w:rsidP="5C938223" w:rsidRDefault="7E306194" w14:paraId="1A5C1C9D" w14:textId="28B01E5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By Cristina Bolling</w:t>
      </w:r>
    </w:p>
    <w:p w:rsidR="7E306194" w:rsidP="5C938223" w:rsidRDefault="7E306194" w14:paraId="4B79C77B" w14:textId="4BB6D514">
      <w:pP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c89f610be43248ee">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Charlotte Ledger</w:t>
        </w:r>
      </w:hyperlink>
    </w:p>
    <w:p w:rsidR="7E306194" w:rsidP="5C938223" w:rsidRDefault="7E306194" w14:paraId="61E72ACD" w14:textId="65E0616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For years leading up to 2023, the financial situation at the Aldersgate retirement community in east Charlotte was quietly deteriorating, and neither state regulators nor residents grasped the magnitude of what was happening.</w:t>
      </w:r>
    </w:p>
    <w:p w:rsidR="7E306194" w:rsidP="5C938223" w:rsidRDefault="7E306194" w14:paraId="730B64DB" w14:textId="30FF077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Entrance fee refunds that were due to former residents or their estates were going unpaid.</w:t>
      </w:r>
    </w:p>
    <w:p w:rsidR="7E306194" w:rsidP="5C938223" w:rsidRDefault="7E306194" w14:paraId="48D218E7" w14:textId="2BCAAE2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A new nonprofit entity was created — outside the purview of regulators — that was controlling how Aldersgate was being run.</w:t>
      </w:r>
    </w:p>
    <w:p w:rsidR="7E306194" w:rsidP="5C938223" w:rsidRDefault="7E306194" w14:paraId="359435B1" w14:textId="330AD09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Residents and prospective residents weren’t getting the full picture of how Aldersgate’s financial health was crumbling.</w:t>
      </w:r>
    </w:p>
    <w:p w:rsidR="7E306194" w:rsidP="5C938223" w:rsidRDefault="7E306194" w14:paraId="239A117E" w14:textId="4D09AA8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By the time August 2023 rolled around, the situation was so severe that the </w:t>
      </w:r>
      <w:hyperlink r:id="Ref2d9ea678da43f1">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N.C. Department of Insurance</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which regulates the financial side of continuing care retirement communities (CCRCs) like Aldersgate, declared Aldersgate at risk for becoming insolvent and made the unprecedented move of issuing an “order of supervision.”Now, legislation is working its way through the N.C. General Assembly with new rules about financial reporting, transparency and more. If it passes, it would help prevent another Aldersgate-type situation from happening, according to state officials and leaders within the retirement community industry.</w:t>
      </w:r>
      <w:hyperlink r:id="R094bc2ae8f9c4b7c">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Senate Bill 105</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is sponsored by Republican Sen. Todd Johnson</w:t>
      </w: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w:t>
      </w: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who represents Cabarrus and Union counties, and it was the result of a 20-member task force of state regulators, leaders of CCRCs across the state, industry professionals and CCRC residents. (</w:t>
      </w:r>
      <w:hyperlink r:id="R6cb71a8989144ea0">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House bill 357</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is a companion bill in the House.)</w:t>
      </w:r>
    </w:p>
    <w:p w:rsidR="7E306194" w:rsidP="5C938223" w:rsidRDefault="7E306194" w14:paraId="5007FD9E" w14:textId="680D376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Much of the work on the issue predates the Aldersgate situation — similar legislation was introduced two years ago and passed through the N.C. Senate but failed in the N.C. House — but some details in the bill were prompted by what happened at Aldersgate, said deputy insurance commissioner Jeff Trendel.</w:t>
      </w:r>
    </w:p>
    <w:p w:rsidR="7E306194" w:rsidP="5C938223" w:rsidRDefault="7E306194" w14:paraId="7BBDA264" w14:textId="472D5FD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“Some of [the changes] were inspired by Aldersgate, and things that we’ve learned,” Trendel told The Charlotte Ledger in an interview on March 20.</w:t>
      </w:r>
    </w:p>
    <w:p w:rsidR="7E306194" w:rsidP="5C938223" w:rsidRDefault="7E306194" w14:paraId="27852322" w14:textId="7C42F64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Since August of 2023, </w:t>
      </w:r>
      <w:hyperlink r:id="R3258b947d25b4b17">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The Ledger has been following the saga at Aldersgate</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one of Charlotte’s oldest and best-known retirement communities, as state authorities placed it under financial supervision, residents worried about its future and new leadership worked to turn around its finances. Aldersgate’s interim CEO told The Ledger this month that its board plans to vote on an “affiliation” with another entity next week, which if approved would improve the community’s finances.</w:t>
      </w:r>
    </w:p>
    <w:p w:rsidR="7E306194" w:rsidP="5C938223" w:rsidRDefault="7E306194" w14:paraId="03DBD857" w14:textId="6D17AB6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Aldersgate’s plight has been closely watched by other retirement communities and their residents, and it has </w:t>
      </w:r>
      <w:hyperlink r:id="R83b4f108dc914cd8">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received national attention as a cautionary tale</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of how prospective residents should vet the places where they plan to spend their retirement years. The turmoil and turnaround have received almost no other local media attention.</w:t>
      </w:r>
    </w:p>
    <w:p w:rsidR="7E306194" w:rsidP="5C938223" w:rsidRDefault="7E306194" w14:paraId="73ED02D4" w14:textId="47C5071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Here are five key highlights of what the bill would do:</w:t>
      </w:r>
    </w:p>
    <w:p w:rsidR="7E306194" w:rsidP="5C938223" w:rsidRDefault="7E306194" w14:paraId="60B31FA9" w14:textId="68CA8B1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mbria Math" w:hAnsi="Cambria Math" w:eastAsia="Cambria Math" w:cs="Cambria Math"/>
          <w:b w:val="1"/>
          <w:bCs w:val="1"/>
          <w:i w:val="0"/>
          <w:iCs w:val="0"/>
          <w:caps w:val="0"/>
          <w:smallCaps w:val="0"/>
          <w:noProof w:val="0"/>
          <w:color w:val="000000" w:themeColor="text1" w:themeTint="FF" w:themeShade="FF"/>
          <w:sz w:val="22"/>
          <w:szCs w:val="22"/>
          <w:lang w:val="en-US"/>
        </w:rPr>
        <w:t>◼</w:t>
      </w: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️Boost financial reporting: </w:t>
      </w: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CCRCs would be required to turn over financial statements quarterly to the N.C. Department of Insurance — not annually, as they are now. Currently, CCRCs include financial statements in the disclosure statements they’re required to update annually for the public. But quarterly reporting to the state would allow regulators to spot financial trouble earlier.</w:t>
      </w:r>
    </w:p>
    <w:p w:rsidR="7E306194" w:rsidP="5C938223" w:rsidRDefault="7E306194" w14:paraId="61A9AE83" w14:textId="26D4F4A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mbria Math" w:hAnsi="Cambria Math" w:eastAsia="Cambria Math" w:cs="Cambria Math"/>
          <w:b w:val="1"/>
          <w:bCs w:val="1"/>
          <w:i w:val="0"/>
          <w:iCs w:val="0"/>
          <w:caps w:val="0"/>
          <w:smallCaps w:val="0"/>
          <w:noProof w:val="0"/>
          <w:color w:val="000000" w:themeColor="text1" w:themeTint="FF" w:themeShade="FF"/>
          <w:sz w:val="22"/>
          <w:szCs w:val="22"/>
          <w:lang w:val="en-US"/>
        </w:rPr>
        <w:t>◼</w:t>
      </w: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️Beef up what goes into the disclosure statements that the public can view</w:t>
      </w: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CCRCs are required to provide prospective residents with a document that gives an overview of how the community is structured, its services, fees, who the leaders are and a snapshot of its finances.</w:t>
      </w:r>
    </w:p>
    <w:p w:rsidR="7E306194" w:rsidP="5C938223" w:rsidRDefault="7E306194" w14:paraId="2C2C7CEE" w14:textId="6B83071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The new bill spells out some more specific requirements that must be in the disclosure statements, including any plans for expansions or renovations and eight key financial metrics or ratios.</w:t>
      </w:r>
    </w:p>
    <w:p w:rsidR="7E306194" w:rsidP="5C938223" w:rsidRDefault="7E306194" w14:paraId="326289E6" w14:textId="440CC01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mbria Math" w:hAnsi="Cambria Math" w:eastAsia="Cambria Math" w:cs="Cambria Math"/>
          <w:b w:val="1"/>
          <w:bCs w:val="1"/>
          <w:i w:val="0"/>
          <w:iCs w:val="0"/>
          <w:caps w:val="0"/>
          <w:smallCaps w:val="0"/>
          <w:noProof w:val="0"/>
          <w:color w:val="000000" w:themeColor="text1" w:themeTint="FF" w:themeShade="FF"/>
          <w:sz w:val="22"/>
          <w:szCs w:val="22"/>
          <w:lang w:val="en-US"/>
        </w:rPr>
        <w:t>◼</w:t>
      </w: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️Alert residents and the NCDOI if communities are failing to pay out entrance fee refunds</w:t>
      </w: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Most people who move into CCRCs pay large entrance fees with the promise that a percentage of the fees will be paid back to the resident or their estate when the resident moves out or passes away.</w:t>
      </w:r>
    </w:p>
    <w:p w:rsidR="7E306194" w:rsidP="5C938223" w:rsidRDefault="7E306194" w14:paraId="775E9CE2" w14:textId="3D77A88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Top of Form</w:t>
      </w:r>
    </w:p>
    <w:p w:rsidR="7E306194" w:rsidP="5C938223" w:rsidRDefault="7E306194" w14:paraId="6FE57AEC" w14:textId="0AA38FC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Bottom of Form</w:t>
      </w:r>
    </w:p>
    <w:p w:rsidR="7E306194" w:rsidP="5C938223" w:rsidRDefault="7E306194" w14:paraId="7D10C7D5" w14:textId="062B97C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In the case of Aldersgate, some former residents or their estates weren’t being paid back, or were being paid back late, because of the community’s financial trouble. The new bill would require CCRCs to notify NCDOI and residents within 10 days if they become more than 30 days past due on entrance fee refunds.</w:t>
      </w:r>
    </w:p>
    <w:p w:rsidR="7E306194" w:rsidP="5C938223" w:rsidRDefault="7E306194" w14:paraId="23DA786F" w14:textId="1A3AE57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mbria Math" w:hAnsi="Cambria Math" w:eastAsia="Cambria Math" w:cs="Cambria Math"/>
          <w:b w:val="1"/>
          <w:bCs w:val="1"/>
          <w:i w:val="0"/>
          <w:iCs w:val="0"/>
          <w:caps w:val="0"/>
          <w:smallCaps w:val="0"/>
          <w:noProof w:val="0"/>
          <w:color w:val="000000" w:themeColor="text1" w:themeTint="FF" w:themeShade="FF"/>
          <w:sz w:val="22"/>
          <w:szCs w:val="22"/>
          <w:lang w:val="en-US"/>
        </w:rPr>
        <w:t>◼</w:t>
      </w: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️Require CCRCs to be transparent about who’s in charge</w:t>
      </w: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In the case of Aldersgate, the community’s administration and board of directors created a separate nonprofit outside of NCDOI supervision called Aldersgate Life Plan Services (ALPS) that acted as a parent company to the Aldersgate community.</w:t>
      </w:r>
    </w:p>
    <w:p w:rsidR="7E306194" w:rsidP="5C938223" w:rsidRDefault="7E306194" w14:paraId="0B0AB79E" w14:textId="51E7A5C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New legislation would require CCRCs to alert NCDOI when there are changes in bylaws or other organizational documents. For example, Trendel said he was aware that ALPS existed, but not that the Aldersgate bylaws had changed “where all of the control was being given to ALPS.”</w:t>
      </w:r>
    </w:p>
    <w:p w:rsidR="7E306194" w:rsidP="5C938223" w:rsidRDefault="7E306194" w14:paraId="02E5200A" w14:textId="427430B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Under the proposed legislation, state regulators would need to be looped in when a community is considering making a change like that one.</w:t>
      </w:r>
    </w:p>
    <w:p w:rsidR="7E306194" w:rsidP="5C938223" w:rsidRDefault="7E306194" w14:paraId="290D572D" w14:textId="2634366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Stability ‘until the day they put us in the box’</w:t>
      </w:r>
    </w:p>
    <w:p w:rsidR="7E306194" w:rsidP="5C938223" w:rsidRDefault="7E306194" w14:paraId="4E6133C4" w14:textId="7A32F4C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Skip Kingan, president of the </w:t>
      </w:r>
      <w:hyperlink r:id="R28589aae24d74f54">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North Carolina Continuing Care Residents Association</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(NorCCRA) and a resident of a CCRC in Durham, said stability and transparency have been top priorities for NorCCRA members who’ve been watching or involved in drafting the legislation.</w:t>
      </w:r>
    </w:p>
    <w:p w:rsidR="7E306194" w:rsidP="5C938223" w:rsidRDefault="7E306194" w14:paraId="1497EF1D" w14:textId="5BAE420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NorCCRA members were part of the 20-person task force that worked on the new bill.</w:t>
      </w:r>
    </w:p>
    <w:p w:rsidR="7E306194" w:rsidP="5C938223" w:rsidRDefault="7E306194" w14:paraId="175155C4" w14:textId="386E6A5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“We’ve all kind of dedicated our remaining lives to living in a continuing care community, and that is something that we wanted to reinforce — that the continuum of care would always be there,” Kingan said.</w:t>
      </w:r>
    </w:p>
    <w:p w:rsidR="7E306194" w:rsidP="5C938223" w:rsidRDefault="7E306194" w14:paraId="485ACA1F" w14:textId="621DFD0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“With all the different models that are showing up these days, it’s very important that somebody moving into a CCRC can expect to be taken care of from the day he moves in until the day they put us in the box,” he said. “This statute reinforces that.”</w:t>
      </w:r>
    </w:p>
    <w:p w:rsidR="7E306194" w:rsidP="5C938223" w:rsidRDefault="7E306194" w14:paraId="3379073B" w14:textId="4B319A5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Tom Akins, president and CEO of </w:t>
      </w:r>
      <w:hyperlink r:id="R4a2f1cb01f1f4a13">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LeadingAge North Carolina</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a nonprofit membership association of about 50 nonprofit retirement communities across the state, said one of the best things to come of work on the new legislation was the unity it brought between CCRC leaders, residents and regulators.</w:t>
      </w:r>
    </w:p>
    <w:p w:rsidR="7E306194" w:rsidP="5C938223" w:rsidRDefault="7E306194" w14:paraId="72F1593E" w14:textId="2C792D7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LeadingAge of North Carolina and NorCCRA are in talks to work together on a primer for residents and prospective residents about how to read CCRC disclosure statements, which can be long and hard to navigate.</w:t>
      </w:r>
    </w:p>
    <w:p w:rsidR="7E306194" w:rsidP="5C938223" w:rsidRDefault="7E306194" w14:paraId="03D7F82F" w14:textId="64E2733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“I think there’s some unplanned benefits out of this whole process, and that’s certainly one of those,” Akins said.</w:t>
      </w:r>
    </w:p>
    <w:p w:rsidR="7E306194" w:rsidP="5C938223" w:rsidRDefault="7E306194" w14:paraId="6BA7F2E2" w14:textId="1F24E28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An attempt to get caught up</w:t>
      </w:r>
    </w:p>
    <w:p w:rsidR="7E306194" w:rsidP="5C938223" w:rsidRDefault="7E306194" w14:paraId="3C1B36BF" w14:textId="6B65A86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The new rules are long overdue, said Kingan, Akins and Trendel.</w:t>
      </w:r>
    </w:p>
    <w:p w:rsidR="7E306194" w:rsidP="5C938223" w:rsidRDefault="7E306194" w14:paraId="34A24603" w14:textId="7DEDDE6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Current regulations governing CCRCs were created in the 1980s, when the retirement home landscape in Charlotte and across the state was much simpler, and mostly made up of mission-driven, church-affiliated nonprofits on single sites.But as the demand for senior living options grew due to increasing life expectancy and an aging population, private investment surged. For-profit companies recognized the financial potential of offering independent living, assisted living, and skilled nursing services under one roof Today, CCRCs operate on a much larger scale, incorporating luxury amenities, diverse service models, and high-end real estate developments to attract affluent retirees.</w:t>
      </w:r>
    </w:p>
    <w:p w:rsidR="7E306194" w:rsidP="5C938223" w:rsidRDefault="7E306194" w14:paraId="6166CF2D" w14:textId="330A24C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Even nonprofit retirement communities often have parent-subsidiary relationships these days, Trendel said, with a larger nonprofit organization owning or overseeing multiple CCRCs. This shift mirrors trends in the for-profit sector.</w:t>
      </w:r>
    </w:p>
    <w:p w:rsidR="7E306194" w:rsidP="5C938223" w:rsidRDefault="7E306194" w14:paraId="073BDB92" w14:textId="357F483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“The organizational structures have gotten much more complicated,” Trendel said. “The industry has evolved, but our laws didn’t really evolve with it. So this was our attempt to get things caught back up.”</w:t>
      </w:r>
    </w:p>
    <w:p w:rsidR="7E306194" w:rsidP="5C938223" w:rsidRDefault="7E306194" w14:paraId="0CD80256" w14:textId="3A38DF4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1"/>
          <w:iCs w:val="1"/>
          <w:caps w:val="0"/>
          <w:smallCaps w:val="0"/>
          <w:noProof w:val="0"/>
          <w:color w:val="000000" w:themeColor="text1" w:themeTint="FF" w:themeShade="FF"/>
          <w:sz w:val="22"/>
          <w:szCs w:val="22"/>
          <w:lang w:val="en-US"/>
        </w:rPr>
        <w:t>Cristina Bolling is managing editor of The Charlotte Ledger: </w:t>
      </w:r>
      <w:hyperlink r:id="R4f52329dfd0b4631">
        <w:r w:rsidRPr="5C938223" w:rsidR="7E306194">
          <w:rPr>
            <w:rStyle w:val="Hyperlink"/>
            <w:rFonts w:ascii="Calibri" w:hAnsi="Calibri" w:eastAsia="Calibri" w:cs="Calibri"/>
            <w:b w:val="0"/>
            <w:bCs w:val="0"/>
            <w:i w:val="1"/>
            <w:iCs w:val="1"/>
            <w:caps w:val="0"/>
            <w:smallCaps w:val="0"/>
            <w:noProof w:val="0"/>
            <w:sz w:val="22"/>
            <w:szCs w:val="22"/>
            <w:lang w:val="en-US"/>
          </w:rPr>
          <w:t>cristina@cltledger.com</w:t>
        </w:r>
      </w:hyperlink>
    </w:p>
    <w:p w:rsidR="5C938223" w:rsidP="5C938223" w:rsidRDefault="5C938223" w14:paraId="05DE79D6" w14:textId="71741E07">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5C938223" w:rsidP="5C938223" w:rsidRDefault="5C938223" w14:paraId="3E4F60EC" w14:textId="38602EB3">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5C938223" w:rsidP="5C938223" w:rsidRDefault="5C938223" w14:paraId="4375EBCD" w14:textId="75432011">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7E306194" w:rsidP="5C938223" w:rsidRDefault="7E306194" w14:paraId="24DC5693" w14:textId="22D07B18">
      <w:pP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13caf1e025d04b75">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By Kim Tran</w:t>
        </w:r>
      </w:hyperlink>
    </w:p>
    <w:p w:rsidR="7E306194" w:rsidP="5C938223" w:rsidRDefault="7E306194" w14:paraId="77279F83" w14:textId="457ECBD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Published on February 12, 2024</w:t>
      </w:r>
    </w:p>
    <w:p w:rsidR="7E306194" w:rsidP="5C938223" w:rsidRDefault="7E306194" w14:paraId="0CC65EC7" w14:textId="52931CB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Source: Unsplash/ </w:t>
      </w:r>
      <w:hyperlink r:id="R1cc0bbaec7d0474f">
        <w:r w:rsidRPr="5C938223" w:rsidR="7E306194">
          <w:rPr>
            <w:rStyle w:val="Hyperlink"/>
            <w:rFonts w:ascii="Calibri" w:hAnsi="Calibri" w:eastAsia="Calibri" w:cs="Calibri"/>
            <w:b w:val="1"/>
            <w:bCs w:val="1"/>
            <w:i w:val="0"/>
            <w:iCs w:val="0"/>
            <w:caps w:val="0"/>
            <w:smallCaps w:val="0"/>
            <w:strike w:val="0"/>
            <w:dstrike w:val="0"/>
            <w:noProof w:val="0"/>
            <w:sz w:val="22"/>
            <w:szCs w:val="22"/>
            <w:lang w:val="en-US"/>
          </w:rPr>
          <w:t>Giorgio Trovato</w:t>
        </w:r>
      </w:hyperlink>
    </w:p>
    <w:p w:rsidR="7E306194" w:rsidP="5C938223" w:rsidRDefault="7E306194" w14:paraId="1AE7CE48" w14:textId="04919DA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Seniors in the Valley are facing financial challenges with retirement communities, unable to get back hefty entrance fees. Janet, a widow since 2017, expected a $193,000 refund from Sierra Winds in Peoria after leaving, but she waited years for it due to contract clauses. This issue, reported by </w:t>
      </w:r>
      <w:hyperlink r:id="R69b01037c7ff4884">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ABC15</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highlights a widespread problem for seniors.</w:t>
      </w:r>
    </w:p>
    <w:p w:rsidR="7E306194" w:rsidP="5C938223" w:rsidRDefault="7E306194" w14:paraId="79B9CD0B" w14:textId="5456A40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Legislators introduced HB 2505 in response to the plight of financially struggling seniors like Janet and Forrest Buck. The bill aims to cap waiting periods for entrance fee refunds, ensuring seniors aren't left waiting indefinitely. If passed, the proposed maximum waiting period would be one year. Representatives urge constituents to speak up on this important issue, as reported in a separate piece by </w:t>
      </w:r>
      <w:hyperlink r:id="Rc7f98c2652d54f85">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ABC15</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E306194" w:rsidP="5C938223" w:rsidRDefault="7E306194" w14:paraId="7E5167B1" w14:textId="7E9F1ED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Retirement communities often require entrance fees, initially seeming practical but causing financial strain for many seniors, as seen in Janet's experience at Sierra Winds. With the support of Let Joe Know's volunteer team, Janet finally received her full refund almost three years after leaving. Expecting 90% of her fee refunded after her husband's death, Janet struggled financially, resorting to fabrications to decline social invitations.</w:t>
      </w:r>
    </w:p>
    <w:p w:rsidR="7E306194" w:rsidP="5C938223" w:rsidRDefault="7E306194" w14:paraId="569D5B4E" w14:textId="4974017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Unlike Janet's drawn-out resolution, HB 2505, now one step away from the legislative floor, could potentially streamline the refund process for Arizona's senior residents in the future, if the bill becomes law. Sierra Winds has defended its adherence to contractual obligations, citing supply and demand for the variability in reoccupation times—statements that offer cold comfort to those like Barbara Taylor, who hoped to help her friend Forrest reclaim his money. Facing what she labels as the "never-ending" contractural legerdemain, Barbara reflected on Forrest's legacy: "I think Forrest would be thrilled,"</w:t>
      </w:r>
    </w:p>
    <w:p w:rsidR="7E306194" w:rsidP="5C938223" w:rsidRDefault="7E306194" w14:paraId="3D4C9B67" w14:textId="57AFFB8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E306194" w:rsidP="5C938223" w:rsidRDefault="7E306194" w14:paraId="65B96B9C" w14:textId="1633E9F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Bottom of Form</w:t>
      </w:r>
    </w:p>
    <w:p w:rsidR="7E306194" w:rsidP="5C938223" w:rsidRDefault="7E306194" w14:paraId="1FC2F94A" w14:textId="541E74C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Bottom of Form</w:t>
      </w:r>
    </w:p>
    <w:p w:rsidR="7E306194" w:rsidP="5C938223" w:rsidRDefault="7E306194" w14:paraId="6417C611" w14:textId="0E1329C6">
      <w:pP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c9b749adbf874fee">
        <w:r w:rsidRPr="5C938223" w:rsidR="7E306194">
          <w:rPr>
            <w:rStyle w:val="Hyperlink"/>
            <w:rFonts w:ascii="Calibri" w:hAnsi="Calibri" w:eastAsia="Calibri" w:cs="Calibri"/>
            <w:b w:val="1"/>
            <w:bCs w:val="1"/>
            <w:i w:val="0"/>
            <w:iCs w:val="0"/>
            <w:caps w:val="0"/>
            <w:smallCaps w:val="0"/>
            <w:strike w:val="0"/>
            <w:dstrike w:val="0"/>
            <w:noProof w:val="0"/>
            <w:sz w:val="22"/>
            <w:szCs w:val="22"/>
            <w:lang w:val="en-US"/>
          </w:rPr>
          <w:t>NBC 5 Responds</w:t>
        </w:r>
      </w:hyperlink>
    </w:p>
    <w:p w:rsidR="7E306194" w:rsidP="5C938223" w:rsidRDefault="7E306194" w14:paraId="5201B4A5" w14:textId="3F02DAF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Proposed law aims to protect families owed large sums of money from retirement communities</w:t>
      </w:r>
    </w:p>
    <w:p w:rsidR="7E306194" w:rsidP="5C938223" w:rsidRDefault="7E306194" w14:paraId="79C4B319" w14:textId="541F989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Continuing care retirement communities tell NBC 5 Responds these refund delays of entrance fees, sometimes worth hundreds of thousands of dollars, were caused by the pandemic.</w:t>
      </w:r>
    </w:p>
    <w:p w:rsidR="7E306194" w:rsidP="5C938223" w:rsidRDefault="7E306194" w14:paraId="3BF0B91E" w14:textId="77F2ADD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By Lexi Sutter, Tom Jones and Ronald Zachara </w:t>
      </w: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w:t>
      </w: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Published June 14, 2023 </w:t>
      </w:r>
      <w:r w:rsidRPr="5C938223" w:rsidR="7E306194">
        <w:rPr>
          <w:rFonts w:ascii="Calibri" w:hAnsi="Calibri" w:eastAsia="Calibri" w:cs="Calibri"/>
          <w:b w:val="1"/>
          <w:bCs w:val="1"/>
          <w:i w:val="0"/>
          <w:iCs w:val="0"/>
          <w:caps w:val="0"/>
          <w:smallCaps w:val="0"/>
          <w:noProof w:val="0"/>
          <w:color w:val="000000" w:themeColor="text1" w:themeTint="FF" w:themeShade="FF"/>
          <w:sz w:val="22"/>
          <w:szCs w:val="22"/>
          <w:lang w:val="en-US"/>
        </w:rPr>
        <w:t>•</w:t>
      </w: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Updated on June 20, 2023 at 12:39 pm</w:t>
      </w:r>
      <w:r w:rsidRPr="5C938223" w:rsidR="7E306194">
        <w:rPr>
          <w:rFonts w:ascii="Calibri" w:hAnsi="Calibri" w:eastAsia="Calibri" w:cs="Calibri"/>
          <w:b w:val="0"/>
          <w:bCs w:val="0"/>
          <w:i w:val="1"/>
          <w:iCs w:val="1"/>
          <w:caps w:val="0"/>
          <w:smallCaps w:val="0"/>
          <w:noProof w:val="0"/>
          <w:color w:val="000000" w:themeColor="text1" w:themeTint="FF" w:themeShade="FF"/>
          <w:sz w:val="22"/>
          <w:szCs w:val="22"/>
          <w:lang w:val="en-US"/>
        </w:rPr>
        <w:t>.</w:t>
      </w:r>
    </w:p>
    <w:p w:rsidR="7E306194" w:rsidP="5C938223" w:rsidRDefault="7E306194" w14:paraId="70048D03" w14:textId="5F3067F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Many families across Illinois have come forward, voicing panic, frustration and fears over waiting years for large financial refunds they say they were promised by retirement communities, NBC Chicago’s Lexi Sutter reports.</w:t>
      </w:r>
    </w:p>
    <w:p w:rsidR="7E306194" w:rsidP="5C938223" w:rsidRDefault="7E306194" w14:paraId="0B261B4B" w14:textId="48E6DBC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Many families across Illinois have come forward, voicing panic, frustration and fears over waiting years for large financial refunds they say they were promised by retirement communities.</w:t>
      </w:r>
    </w:p>
    <w:p w:rsidR="7E306194" w:rsidP="5C938223" w:rsidRDefault="7E306194" w14:paraId="6B4990D8" w14:textId="103FFDD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It’s a common, contractual promise that’s part of most continuing care retirement communities' (CCRC) business model: Families agree to pay large sums of money upfront for a CCRC apartment unit – an “entrance fee” often ranging from $200,000 to $300,000 – on the condition that once their loved one moves out or passes away, and a new tenant signs a contract for the unit, a majority of that fee will be refunded (minus any repair costs necessary to rent out the unit.) </w:t>
      </w:r>
    </w:p>
    <w:p w:rsidR="7E306194" w:rsidP="5C938223" w:rsidRDefault="7E306194" w14:paraId="36E9DEC4" w14:textId="3C732FA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But some families tell NBC 5 Responds they have been waiting years for those units to be occupied, with little to no communication from the CCRCs on their methods of showing those particular units that have refunds attached to them. The families say the refund timeline has stretched far longer than what was ever anticipated.</w:t>
      </w:r>
    </w:p>
    <w:p w:rsidR="7E306194" w:rsidP="5C938223" w:rsidRDefault="7E306194" w14:paraId="17CBE69B" w14:textId="6547E10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Retirement communities stress this is just an after effect from the pandemic; that this business model has worked for decades, and that it’s designed to help other residents who rely on these communities to take care of them, even when those residents’ financial means have run out.</w:t>
      </w:r>
    </w:p>
    <w:p w:rsidR="7E306194" w:rsidP="5C938223" w:rsidRDefault="7E306194" w14:paraId="1F2D8B11" w14:textId="4D987F5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Illinois House Representative Michelle Mussman (D-56th District) tells NBC 5 she’s heard from many families as well, and now, she believes there’s a need to protect these consumers by passing new rules for these kinds of refunds.</w:t>
      </w:r>
    </w:p>
    <w:p w:rsidR="7E306194" w:rsidP="5C938223" w:rsidRDefault="7E306194" w14:paraId="61927EA9" w14:textId="2BF864F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The new law was authored for families like Linda Horn of Lincolnshire, who said she’s still waiting for her entrance fee refund after her father passed away in 2021.</w:t>
      </w:r>
    </w:p>
    <w:p w:rsidR="7E306194" w:rsidP="5C938223" w:rsidRDefault="7E306194" w14:paraId="2D70C342" w14:textId="118CA99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Horn’s father, Harold Pastron, lived at Sedgebrook, a retirement community in Lincolnshire, and she says his experience there was lovely with no complaints.</w:t>
      </w:r>
    </w:p>
    <w:p w:rsidR="7E306194" w:rsidP="5C938223" w:rsidRDefault="7E306194" w14:paraId="3B02B549" w14:textId="0C7DCD4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“It was a really good experience,” Horn recalled. “The apartments are beautiful. And it's a very nice place to live. But this is just, it's frustrating. And it's really unacceptable.”What’s frustrating for Horn is that since her father passed away in April 2021, with his Sedgebrook unit vacated a month later, she says Sedgebrook’s communication has dwindled and their plans for showing the unit to prospective tenants were not initially disclosed. More than two years later, the delay in fulfilling the contractual refund promise has left the Horn family in a financial hole, owed around $300,000.</w:t>
      </w:r>
    </w:p>
    <w:p w:rsidR="7E306194" w:rsidP="5C938223" w:rsidRDefault="7E306194" w14:paraId="2AEB2622" w14:textId="4DE301C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“We're totally powerless,” Horn said. “There's no rhyme or reason to how they're showing units. That's very frustrating to us.”</w:t>
      </w:r>
    </w:p>
    <w:p w:rsidR="7E306194" w:rsidP="5C938223" w:rsidRDefault="7E306194" w14:paraId="633441D7" w14:textId="25A89E0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Sedgebrook’s Executive Director, Mark Golliday, confirmed to NBC 5 that it has sold dozens of units since May 2021, 85 units to be exact, just not the unit that belonged to Harold Pastron.</w:t>
      </w:r>
    </w:p>
    <w:p w:rsidR="7E306194" w:rsidP="5C938223" w:rsidRDefault="7E306194" w14:paraId="6EC14332" w14:textId="4A7DAC2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After NBC 5 contacted Sedgebrook about the Horn family's refund, an email sent to the family and shared with NBC 5 stated Sedgebrook was "doubling the sales commission to further motivate our sales counselors to show and sell [the Horn family's unit,]" but there have been no updates since.</w:t>
      </w:r>
    </w:p>
    <w:p w:rsidR="7E306194" w:rsidP="5C938223" w:rsidRDefault="7E306194" w14:paraId="0D7588E5" w14:textId="1BF754B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Golliday told NBC 5 that Sedgebrook does not keep any records detailing how often specific units are shown to prospective tenants, and these delays are not for a lack of trying, rather it can be traced back to COVID-19.</w:t>
      </w:r>
    </w:p>
    <w:p w:rsidR="7E306194" w:rsidP="5C938223" w:rsidRDefault="7E306194" w14:paraId="2ED812A1" w14:textId="77486E1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“The delay in making refunds is a result of a number of factors, many of which are related to the fact that our normal inflow and outflow of residents was dramatically disrupted in 2020 and 2021 as a result of the pandemic,” Golliday told NBC 5 by email. “In short, this has created a backlog of apartments in a market that remains driven by, and reliant on, the individual tastes and preferences of prospective residents.”</w:t>
      </w:r>
    </w:p>
    <w:p w:rsidR="7E306194" w:rsidP="5C938223" w:rsidRDefault="7E306194" w14:paraId="308CF36B" w14:textId="546AD74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Sedgebrook’s answer is similar to what other CCRCs have said when dealing with families frustrated over refund delays. </w:t>
      </w:r>
    </w:p>
    <w:p w:rsidR="7E306194" w:rsidP="5C938223" w:rsidRDefault="7E306194" w14:paraId="14405AF3" w14:textId="1336DAC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A Hyde Park family contacted NBC 5 Responds this past February after waiting nearly four years for a $300,000 refund from their late father’s retirement community that they were rightfully owed. (Watch the full story below.)</w:t>
      </w:r>
    </w:p>
    <w:p w:rsidR="7E306194" w:rsidP="5C938223" w:rsidRDefault="7E306194" w14:paraId="54824C6A" w14:textId="37F8C6A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A Hyde Park family contacted NBC 5 Responds after waiting nearly four years for a $300,000 refund from their late father’s retirement community that they were rightfully owed. Lisa Parker has the story.</w:t>
      </w:r>
    </w:p>
    <w:p w:rsidR="7E306194" w:rsidP="5C938223" w:rsidRDefault="7E306194" w14:paraId="0FE23F16" w14:textId="087770C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The list of families is growing for House Representative Michelle Mussman as well.</w:t>
      </w:r>
    </w:p>
    <w:p w:rsidR="7E306194" w:rsidP="5C938223" w:rsidRDefault="7E306194" w14:paraId="0FE85B82" w14:textId="5B49BC0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“The status quo is really not working well for many consumers,” Mussman told NBC 5. “They have all of your money and they have no legal obligation to pay you back on any particular timeline.”This year, Mussman took the first step to change that, </w:t>
      </w:r>
      <w:hyperlink r:id="R64fe4c4ef756423c">
        <w:r w:rsidRPr="5C938223" w:rsidR="7E306194">
          <w:rPr>
            <w:rStyle w:val="Hyperlink"/>
            <w:rFonts w:ascii="Calibri" w:hAnsi="Calibri" w:eastAsia="Calibri" w:cs="Calibri"/>
            <w:b w:val="0"/>
            <w:bCs w:val="0"/>
            <w:i w:val="0"/>
            <w:iCs w:val="0"/>
            <w:caps w:val="0"/>
            <w:smallCaps w:val="0"/>
            <w:strike w:val="0"/>
            <w:dstrike w:val="0"/>
            <w:noProof w:val="0"/>
            <w:sz w:val="22"/>
            <w:szCs w:val="22"/>
            <w:lang w:val="en-US"/>
          </w:rPr>
          <w:t>introducing House Bill 2494</w:t>
        </w:r>
      </w:hyperlink>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 which was modeled after a law passed in New Jersey in response to entrance fee refund delays by retirement communities.</w:t>
      </w:r>
    </w:p>
    <w:p w:rsidR="7E306194" w:rsidP="5C938223" w:rsidRDefault="7E306194" w14:paraId="3B7F3905" w14:textId="762189A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If passed, the bill would amend the Life Care Facilities Act and create a timeline or system for families seeking their refunds by assigning each beneficiary a sequential number once their loved ones’ unit is vacated.</w:t>
      </w:r>
    </w:p>
    <w:p w:rsidR="7E306194" w:rsidP="5C938223" w:rsidRDefault="7E306194" w14:paraId="53B6E6E5" w14:textId="771790A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C938223" w:rsidR="7E306194">
        <w:rPr>
          <w:rFonts w:ascii="Calibri" w:hAnsi="Calibri" w:eastAsia="Calibri" w:cs="Calibri"/>
          <w:b w:val="0"/>
          <w:bCs w:val="0"/>
          <w:i w:val="0"/>
          <w:iCs w:val="0"/>
          <w:caps w:val="0"/>
          <w:smallCaps w:val="0"/>
          <w:noProof w:val="0"/>
          <w:color w:val="000000" w:themeColor="text1" w:themeTint="FF" w:themeShade="FF"/>
          <w:sz w:val="22"/>
          <w:szCs w:val="22"/>
          <w:lang w:val="en-US"/>
        </w:rPr>
        <w:t>From there forward, it’s a first in, first out system: When any vacant unit is occupied or sold, the family at the top of the list will receive their refund, and others will automatically move up the list.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634010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340ef4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cf86bb"/>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2b1fb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64dd0b4"/>
    <w:multiLevelType xmlns:w="http://schemas.openxmlformats.org/wordprocessingml/2006/main" w:val="multilevel"/>
    <w:lvl xmlns:w="http://schemas.openxmlformats.org/wordprocessingml/2006/main" w:ilvl="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6f9c6f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6374a06"/>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4e142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880A35"/>
    <w:rsid w:val="23DB3266"/>
    <w:rsid w:val="2D880A35"/>
    <w:rsid w:val="2F511FCE"/>
    <w:rsid w:val="3BC0E566"/>
    <w:rsid w:val="5C938223"/>
    <w:rsid w:val="6EFE7261"/>
    <w:rsid w:val="735E88B8"/>
    <w:rsid w:val="7E30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0A35"/>
  <w15:chartTrackingRefBased/>
  <w15:docId w15:val="{BD31D805-F7F7-4BFD-8F70-C5825308AE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35E88B8"/>
    <w:pPr>
      <w:spacing/>
      <w:ind w:left="720"/>
      <w:contextualSpacing/>
    </w:pPr>
  </w:style>
  <w:style w:type="character" w:styleId="Hyperlink">
    <w:uiPriority w:val="99"/>
    <w:name w:val="Hyperlink"/>
    <w:basedOn w:val="DefaultParagraphFont"/>
    <w:unhideWhenUsed/>
    <w:rsid w:val="5C93822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fee560d1c2e477b" /><Relationship Type="http://schemas.openxmlformats.org/officeDocument/2006/relationships/image" Target="/media/image.png" Id="R30c07402b0cb4764" /><Relationship Type="http://schemas.openxmlformats.org/officeDocument/2006/relationships/hyperlink" Target="https://vanarellilaw.com/governor-signs-new-law-helping-residents-of-ccrcs-in-new-jersey-get-timely-refunds-of-entrance-fees/" TargetMode="External" Id="R1be949425f504aa1" /><Relationship Type="http://schemas.openxmlformats.org/officeDocument/2006/relationships/image" Target="/media/image.jpg" Id="R157c68c5d3294748" /><Relationship Type="http://schemas.openxmlformats.org/officeDocument/2006/relationships/hyperlink" Target="https://vanarellilaw.com/public-law-2018-c-98/" TargetMode="External" Id="R146b091325e848f9" /><Relationship Type="http://schemas.openxmlformats.org/officeDocument/2006/relationships/hyperlink" Target="https://twitter.com/lois_bowers" TargetMode="External" Id="R01ac2eb04d214b5d" /><Relationship Type="http://schemas.openxmlformats.org/officeDocument/2006/relationships/hyperlink" Target="https://www.njleg.state.nj.us/2018/Bills/A3000/2747_R3.HTM" TargetMode="External" Id="Rbb4bfa70ba404504" /><Relationship Type="http://schemas.openxmlformats.org/officeDocument/2006/relationships/hyperlink" Target="https://www.oranjccrc.org/about-oranj/members/" TargetMode="External" Id="Rfdf7effaf8264142" /><Relationship Type="http://schemas.openxmlformats.org/officeDocument/2006/relationships/image" Target="/media/image2.jpg" Id="R9646a503538e4ad2" /><Relationship Type="http://schemas.openxmlformats.org/officeDocument/2006/relationships/hyperlink" Target="https://www.mcknights.com/author/zaharajohnson/" TargetMode="External" Id="R255e1325bbef47e0" /><Relationship Type="http://schemas.openxmlformats.org/officeDocument/2006/relationships/hyperlink" Target="https://www.myfloridacfo.com/news/pressreleases/press-release-details/2025/04/30/dfs-announces-arrest-of-tampa-life-plan-village-president-for-continuing-care-fraud" TargetMode="External" Id="Rc01eb3c4acfc408c" /><Relationship Type="http://schemas.openxmlformats.org/officeDocument/2006/relationships/hyperlink" Target="https://www.mcknightsseniorliving.com/news/ccrc-violated-insurance-code-and-mistreated-residents-who-lost-30-million-in-entrance-fees-report-finds/" TargetMode="External" Id="R1c261fc2dac747d6" /><Relationship Type="http://schemas.openxmlformats.org/officeDocument/2006/relationships/hyperlink" Target="https://www.mcknights.com/news/with-bankruptcies-increasing-lawmakers-look-to-regulate-ccrc-refund-process/" TargetMode="External" Id="R065504e7170e4735" /><Relationship Type="http://schemas.openxmlformats.org/officeDocument/2006/relationships/hyperlink" Target="https://www.nbcchicago.com/consumer/illinois-families-owed-millions-of-dollars-after-retirement-community-files-for-bankruptcy/3388657/" TargetMode="External" Id="R78b3d90a1fec4d67" /><Relationship Type="http://schemas.openxmlformats.org/officeDocument/2006/relationships/hyperlink" Target="https://www.mcknightsseniorliving.com/news/ccrc-operator-files-for-bankruptcy-protection-to-reorganize/" TargetMode="External" Id="Rc7f693f6d4ee4958" /><Relationship Type="http://schemas.openxmlformats.org/officeDocument/2006/relationships/hyperlink" Target="https://www.northcarolinahealthnews.org/category/charlotte-ledger/" TargetMode="External" Id="Rd36acd875031446f" /><Relationship Type="http://schemas.openxmlformats.org/officeDocument/2006/relationships/image" Target="/media/image2.png" Id="R81c5ff4296924995" /><Relationship Type="http://schemas.openxmlformats.org/officeDocument/2006/relationships/hyperlink" Target="https://www.northcarolinahealthnews.org/author/charlotteledger/" TargetMode="External" Id="R07a18b812e874999" /><Relationship Type="http://schemas.openxmlformats.org/officeDocument/2006/relationships/hyperlink" Target="https://charlotteledger.substack.com/" TargetMode="External" Id="R3a1ed6c820d9488f" /><Relationship Type="http://schemas.openxmlformats.org/officeDocument/2006/relationships/hyperlink" Target="https://www.ncdoi.gov/" TargetMode="External" Id="R17e0af6d61824580" /><Relationship Type="http://schemas.openxmlformats.org/officeDocument/2006/relationships/hyperlink" Target="https://www.ncleg.gov/Sessions/2025/Bills/Senate/PDF/S105v1.pdf" TargetMode="External" Id="Rca3fcb35ef4e417f" /><Relationship Type="http://schemas.openxmlformats.org/officeDocument/2006/relationships/hyperlink" Target="https://www.ncleg.gov/BillLookUp/2025/H357" TargetMode="External" Id="Rfe6845a004cb4eab" /><Relationship Type="http://schemas.openxmlformats.org/officeDocument/2006/relationships/hyperlink" Target="https://www.northcarolinahealthnews.org/2023/08/26/state-regulators-step-in-to-supervise-aldersgates-financial-operations-saying-the-retirement-community-is-financially-hazardous/" TargetMode="External" Id="Rabbca75942854c2d" /><Relationship Type="http://schemas.openxmlformats.org/officeDocument/2006/relationships/hyperlink" Target="https://www.wsj.com/personal-finance/retirement/financials-continuing-care-retirement-community-5e0fe954" TargetMode="External" Id="Ref36bb0485e442d9" /><Relationship Type="http://schemas.openxmlformats.org/officeDocument/2006/relationships/hyperlink" Target="https://www.norccra.org/" TargetMode="External" Id="R57bd6b52dce14759" /><Relationship Type="http://schemas.openxmlformats.org/officeDocument/2006/relationships/hyperlink" Target="https://www.leadingagenc.org/%22%20/t%20%22_blank" TargetMode="External" Id="R2ae1a1847326450f" /><Relationship Type="http://schemas.openxmlformats.org/officeDocument/2006/relationships/hyperlink" Target="mailto:cristina@cltledger.com" TargetMode="External" Id="R8effc38224034070" /><Relationship Type="http://schemas.openxmlformats.org/officeDocument/2006/relationships/image" Target="/media/image3.jpg" Id="Rcfc37e9a28794f86" /><Relationship Type="http://schemas.openxmlformats.org/officeDocument/2006/relationships/hyperlink" Target="https://www.mcknights.com/author/zaharajohnson/" TargetMode="External" Id="R491f271ad9314074" /><Relationship Type="http://schemas.openxmlformats.org/officeDocument/2006/relationships/hyperlink" Target="https://www.myfloridacfo.com/news/pressreleases/press-release-details/2025/04/30/dfs-announces-arrest-of-tampa-life-plan-village-president-for-continuing-care-fraud" TargetMode="External" Id="Rb82c393a4f6848dc" /><Relationship Type="http://schemas.openxmlformats.org/officeDocument/2006/relationships/hyperlink" Target="https://www.mcknightsseniorliving.com/news/ccrc-violated-insurance-code-and-mistreated-residents-who-lost-30-million-in-entrance-fees-report-finds/" TargetMode="External" Id="Rd0b8273048384637" /><Relationship Type="http://schemas.openxmlformats.org/officeDocument/2006/relationships/hyperlink" Target="https://www.mcknights.com/news/with-bankruptcies-increasing-lawmakers-look-to-regulate-ccrc-refund-process/" TargetMode="External" Id="Rbd0b8f9095044b35" /><Relationship Type="http://schemas.openxmlformats.org/officeDocument/2006/relationships/hyperlink" Target="https://www.nbcchicago.com/consumer/illinois-families-owed-millions-of-dollars-after-retirement-community-files-for-bankruptcy/3388657/" TargetMode="External" Id="R7da26220c7c548cc" /><Relationship Type="http://schemas.openxmlformats.org/officeDocument/2006/relationships/hyperlink" Target="https://www.mcknightsseniorliving.com/news/ccrc-operator-files-for-bankruptcy-protection-to-reorganize/" TargetMode="External" Id="R83584df148fc4902" /><Relationship Type="http://schemas.openxmlformats.org/officeDocument/2006/relationships/hyperlink" Target="https://www.northcarolinahealthnews.org/category/charlotte-ledger/" TargetMode="External" Id="R94f7ad38e4854c60" /><Relationship Type="http://schemas.openxmlformats.org/officeDocument/2006/relationships/image" Target="/media/image3.png" Id="Ra2bcc3c460a04387" /><Relationship Type="http://schemas.openxmlformats.org/officeDocument/2006/relationships/hyperlink" Target="https://www.northcarolinahealthnews.org/author/charlotteledger/" TargetMode="External" Id="R882be45d2a2a4398" /><Relationship Type="http://schemas.openxmlformats.org/officeDocument/2006/relationships/hyperlink" Target="https://charlotteledger.substack.com/" TargetMode="External" Id="Rc89f610be43248ee" /><Relationship Type="http://schemas.openxmlformats.org/officeDocument/2006/relationships/hyperlink" Target="https://www.ncdoi.gov/" TargetMode="External" Id="Ref2d9ea678da43f1" /><Relationship Type="http://schemas.openxmlformats.org/officeDocument/2006/relationships/hyperlink" Target="https://www.ncleg.gov/Sessions/2025/Bills/Senate/PDF/S105v1.pdf" TargetMode="External" Id="R094bc2ae8f9c4b7c" /><Relationship Type="http://schemas.openxmlformats.org/officeDocument/2006/relationships/hyperlink" Target="https://www.ncleg.gov/BillLookUp/2025/H357" TargetMode="External" Id="R6cb71a8989144ea0" /><Relationship Type="http://schemas.openxmlformats.org/officeDocument/2006/relationships/hyperlink" Target="https://www.northcarolinahealthnews.org/2023/08/26/state-regulators-step-in-to-supervise-aldersgates-financial-operations-saying-the-retirement-community-is-financially-hazardous/" TargetMode="External" Id="R3258b947d25b4b17" /><Relationship Type="http://schemas.openxmlformats.org/officeDocument/2006/relationships/hyperlink" Target="https://www.wsj.com/personal-finance/retirement/financials-continuing-care-retirement-community-5e0fe954" TargetMode="External" Id="R83b4f108dc914cd8" /><Relationship Type="http://schemas.openxmlformats.org/officeDocument/2006/relationships/hyperlink" Target="https://www.norccra.org/" TargetMode="External" Id="R28589aae24d74f54" /><Relationship Type="http://schemas.openxmlformats.org/officeDocument/2006/relationships/hyperlink" Target="https://www.leadingagenc.org/%22%20/t%20%22_blank" TargetMode="External" Id="R4a2f1cb01f1f4a13" /><Relationship Type="http://schemas.openxmlformats.org/officeDocument/2006/relationships/hyperlink" Target="mailto:cristina@cltledger.com" TargetMode="External" Id="R4f52329dfd0b4631" /><Relationship Type="http://schemas.openxmlformats.org/officeDocument/2006/relationships/hyperlink" Target="https://hoodline.com/author/kim-tran/" TargetMode="External" Id="R13caf1e025d04b75" /><Relationship Type="http://schemas.openxmlformats.org/officeDocument/2006/relationships/hyperlink" Target="https://hoodline.com/2024/02/arizona-legislators-introduce-bill-to-cap-refund-waiting-period-for-seniors-at-retirement-facilities/%E2%80%9Chttps:/unsplash.com/photos/white-and-black-printer-paper-WyxqQpyFNk8%E2%80%9D" TargetMode="External" Id="R1cc0bbaec7d0474f" /><Relationship Type="http://schemas.openxmlformats.org/officeDocument/2006/relationships/hyperlink" Target="https://www.abc15.com/news/let-joe-know/valley-senior-fights-to-get-back-refundable-housing-fee" TargetMode="External" Id="R69b01037c7ff4884" /><Relationship Type="http://schemas.openxmlformats.org/officeDocument/2006/relationships/hyperlink" Target="https://www.abc15.com/news/let-joe-know/bill-to-help-seniors-financially-moves-closer-to-becoming-law" TargetMode="External" Id="Rc7f98c2652d54f85" /><Relationship Type="http://schemas.openxmlformats.org/officeDocument/2006/relationships/hyperlink" Target="https://www.nbcchicago.com/tag/nbc-5-responds/" TargetMode="External" Id="Rc9b749adbf874fee" /><Relationship Type="http://schemas.openxmlformats.org/officeDocument/2006/relationships/hyperlink" Target="https://www.ilga.gov/legislation/fulltext.asp?DocName=&amp;SessionId=112&amp;GA=103&amp;DocTypeId=HB&amp;DocNum=2494&amp;GAID=17&amp;LegID=147580&amp;SpecSess=&amp;Session=" TargetMode="External" Id="R64fe4c4ef756423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708BD0-93B7-4FBA-B2A6-F9F135110CD8}"/>
</file>

<file path=customXml/itemProps2.xml><?xml version="1.0" encoding="utf-8"?>
<ds:datastoreItem xmlns:ds="http://schemas.openxmlformats.org/officeDocument/2006/customXml" ds:itemID="{C8F9FAFC-89DD-4080-A298-59494908E31D}"/>
</file>

<file path=customXml/itemProps3.xml><?xml version="1.0" encoding="utf-8"?>
<ds:datastoreItem xmlns:ds="http://schemas.openxmlformats.org/officeDocument/2006/customXml" ds:itemID="{CAD401C7-40D7-4BA5-B456-414DE044CE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Fernandez, Julianna (HOU)</dc:creator>
  <keywords/>
  <dc:description/>
  <lastModifiedBy>Fernandez, Julianna (HOU)</lastModifiedBy>
  <dcterms:created xsi:type="dcterms:W3CDTF">2025-08-04T13:58:33.0000000Z</dcterms:created>
  <dcterms:modified xsi:type="dcterms:W3CDTF">2025-08-04T14:03:02.9833794Z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